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EF20" w14:textId="77777777" w:rsidR="002E6AD7" w:rsidRDefault="00256082">
      <w:pPr>
        <w:tabs>
          <w:tab w:val="center" w:pos="6099"/>
        </w:tabs>
        <w:spacing w:after="937"/>
        <w:ind w:left="-15" w:firstLine="0"/>
      </w:pPr>
      <w:r>
        <w:rPr>
          <w:noProof/>
        </w:rPr>
        <w:drawing>
          <wp:inline distT="0" distB="0" distL="0" distR="0" wp14:anchorId="3BBC4332" wp14:editId="3B781F7C">
            <wp:extent cx="2302212" cy="755978"/>
            <wp:effectExtent l="0" t="0" r="0" b="0"/>
            <wp:docPr id="63" name="Picture 63" descr="Tamworth Council logo"/>
            <wp:cNvGraphicFramePr/>
            <a:graphic xmlns:a="http://schemas.openxmlformats.org/drawingml/2006/main">
              <a:graphicData uri="http://schemas.openxmlformats.org/drawingml/2006/picture">
                <pic:pic xmlns:pic="http://schemas.openxmlformats.org/drawingml/2006/picture">
                  <pic:nvPicPr>
                    <pic:cNvPr id="63" name="Picture 63" descr="Tamworth Council logo"/>
                    <pic:cNvPicPr/>
                  </pic:nvPicPr>
                  <pic:blipFill>
                    <a:blip r:embed="rId5"/>
                    <a:stretch>
                      <a:fillRect/>
                    </a:stretch>
                  </pic:blipFill>
                  <pic:spPr>
                    <a:xfrm>
                      <a:off x="0" y="0"/>
                      <a:ext cx="2302212" cy="755978"/>
                    </a:xfrm>
                    <a:prstGeom prst="rect">
                      <a:avLst/>
                    </a:prstGeom>
                  </pic:spPr>
                </pic:pic>
              </a:graphicData>
            </a:graphic>
          </wp:inline>
        </w:drawing>
      </w:r>
      <w:r>
        <w:tab/>
        <w:t xml:space="preserve">Privacy Notice Last updated: May 2018 </w:t>
      </w:r>
    </w:p>
    <w:p w14:paraId="29155CE4" w14:textId="1414C171" w:rsidR="002E6AD7" w:rsidRDefault="00256082">
      <w:pPr>
        <w:spacing w:after="279"/>
        <w:ind w:left="-5"/>
      </w:pPr>
      <w:r>
        <w:t xml:space="preserve">The following information applies to Food Safety Service. </w:t>
      </w:r>
    </w:p>
    <w:p w14:paraId="33996E7F" w14:textId="77777777" w:rsidR="002E6AD7" w:rsidRDefault="00256082">
      <w:pPr>
        <w:spacing w:line="250" w:lineRule="auto"/>
        <w:ind w:left="-5"/>
      </w:pPr>
      <w:r>
        <w:rPr>
          <w:b/>
          <w:shd w:val="clear" w:color="auto" w:fill="D3D3D3"/>
        </w:rPr>
        <w:t>Data Controller:</w:t>
      </w:r>
      <w:r>
        <w:t xml:space="preserve"> </w:t>
      </w:r>
    </w:p>
    <w:p w14:paraId="2030C58C" w14:textId="77777777" w:rsidR="002E6AD7" w:rsidRDefault="00256082">
      <w:pPr>
        <w:ind w:left="-5"/>
      </w:pPr>
      <w:r>
        <w:t xml:space="preserve">Tamworth Borough Council </w:t>
      </w:r>
    </w:p>
    <w:p w14:paraId="0A17434F" w14:textId="77777777" w:rsidR="002E6AD7" w:rsidRDefault="00256082">
      <w:pPr>
        <w:ind w:left="-5"/>
      </w:pPr>
      <w:r>
        <w:t xml:space="preserve">Marmion House </w:t>
      </w:r>
    </w:p>
    <w:p w14:paraId="397DF10F" w14:textId="77777777" w:rsidR="002E6AD7" w:rsidRDefault="00256082">
      <w:pPr>
        <w:ind w:left="-5"/>
      </w:pPr>
      <w:r>
        <w:t xml:space="preserve">Lichfield Street </w:t>
      </w:r>
    </w:p>
    <w:p w14:paraId="2F95B19B" w14:textId="77777777" w:rsidR="002E6AD7" w:rsidRDefault="00256082">
      <w:pPr>
        <w:ind w:left="-5"/>
      </w:pPr>
      <w:r>
        <w:t xml:space="preserve">Tamworth </w:t>
      </w:r>
    </w:p>
    <w:p w14:paraId="1CCB4307" w14:textId="734E91F8" w:rsidR="002E6AD7" w:rsidRDefault="00256082">
      <w:pPr>
        <w:spacing w:after="283"/>
        <w:ind w:left="-5" w:right="7307"/>
      </w:pPr>
      <w:r>
        <w:t xml:space="preserve">Staffordshire B79 7BZ </w:t>
      </w:r>
    </w:p>
    <w:p w14:paraId="3CD73477" w14:textId="77777777" w:rsidR="002E6AD7" w:rsidRDefault="00256082">
      <w:pPr>
        <w:pStyle w:val="Heading1"/>
        <w:ind w:left="-5" w:right="5964"/>
      </w:pPr>
      <w:r>
        <w:t>Data Protection Officer:</w:t>
      </w:r>
      <w:r>
        <w:rPr>
          <w:b w:val="0"/>
          <w:shd w:val="clear" w:color="auto" w:fill="auto"/>
        </w:rPr>
        <w:t xml:space="preserve"> Nicola Hesketh </w:t>
      </w:r>
    </w:p>
    <w:p w14:paraId="270499AA" w14:textId="77777777" w:rsidR="002E6AD7" w:rsidRDefault="00256082">
      <w:pPr>
        <w:ind w:left="-5"/>
      </w:pPr>
      <w:r>
        <w:t xml:space="preserve">Tamworth Borough Council </w:t>
      </w:r>
    </w:p>
    <w:p w14:paraId="7687DFD4" w14:textId="77777777" w:rsidR="002E6AD7" w:rsidRDefault="00256082">
      <w:pPr>
        <w:ind w:left="-5"/>
      </w:pPr>
      <w:r>
        <w:t xml:space="preserve">Marmion House </w:t>
      </w:r>
    </w:p>
    <w:p w14:paraId="55A2B662" w14:textId="77777777" w:rsidR="002E6AD7" w:rsidRDefault="00256082">
      <w:pPr>
        <w:ind w:left="-5"/>
      </w:pPr>
      <w:r>
        <w:t xml:space="preserve">Lichfield Street </w:t>
      </w:r>
    </w:p>
    <w:p w14:paraId="5E3BBCDE" w14:textId="77777777" w:rsidR="002E6AD7" w:rsidRDefault="00256082">
      <w:pPr>
        <w:ind w:left="-5"/>
      </w:pPr>
      <w:r>
        <w:t xml:space="preserve">Tamworth </w:t>
      </w:r>
    </w:p>
    <w:p w14:paraId="34C986BD" w14:textId="77777777" w:rsidR="002E6AD7" w:rsidRDefault="00256082">
      <w:pPr>
        <w:ind w:left="-5"/>
      </w:pPr>
      <w:r>
        <w:t xml:space="preserve">Staffordshire </w:t>
      </w:r>
    </w:p>
    <w:p w14:paraId="3242BE54" w14:textId="77777777" w:rsidR="002E6AD7" w:rsidRDefault="00256082">
      <w:pPr>
        <w:spacing w:after="279"/>
        <w:ind w:left="-5"/>
      </w:pPr>
      <w:r>
        <w:t xml:space="preserve">B79 7BZ </w:t>
      </w:r>
    </w:p>
    <w:p w14:paraId="458C62CC" w14:textId="77777777" w:rsidR="002E6AD7" w:rsidRDefault="00256082">
      <w:pPr>
        <w:spacing w:after="269" w:line="259" w:lineRule="auto"/>
        <w:ind w:left="0" w:firstLine="0"/>
      </w:pPr>
      <w:r>
        <w:t xml:space="preserve">Email: </w:t>
      </w:r>
      <w:r>
        <w:rPr>
          <w:color w:val="0000FF"/>
          <w:u w:val="single" w:color="0000FF"/>
        </w:rPr>
        <w:t>data-protection@tamworth.gov.uk</w:t>
      </w:r>
      <w:r>
        <w:t xml:space="preserve"> </w:t>
      </w:r>
    </w:p>
    <w:p w14:paraId="35B7147C" w14:textId="77777777" w:rsidR="002E6AD7" w:rsidRDefault="00256082">
      <w:pPr>
        <w:spacing w:line="250" w:lineRule="auto"/>
        <w:ind w:left="-5"/>
      </w:pPr>
      <w:r>
        <w:rPr>
          <w:b/>
          <w:shd w:val="clear" w:color="auto" w:fill="D3D3D3"/>
        </w:rPr>
        <w:t>Retention:</w:t>
      </w:r>
      <w:r>
        <w:t xml:space="preserve">  </w:t>
      </w:r>
    </w:p>
    <w:p w14:paraId="4B99B3DC" w14:textId="77777777" w:rsidR="002E6AD7" w:rsidRDefault="00256082">
      <w:pPr>
        <w:spacing w:after="134" w:line="360" w:lineRule="auto"/>
        <w:ind w:left="-5"/>
      </w:pPr>
      <w:r>
        <w:t xml:space="preserve">Records are kept in accordance with the Council's disposal </w:t>
      </w:r>
      <w:proofErr w:type="gramStart"/>
      <w:r>
        <w:t>schedule</w:t>
      </w:r>
      <w:proofErr w:type="gramEnd"/>
      <w:r>
        <w:t xml:space="preserve"> and we will not keep your information for longer than necessary. Our Retention Schedule can be found at:  </w:t>
      </w:r>
      <w:hyperlink r:id="rId6">
        <w:r w:rsidRPr="0096671B">
          <w:rPr>
            <w:color w:val="0000FF"/>
            <w:u w:val="single" w:color="0000FF"/>
          </w:rPr>
          <w:t>https://www.tamworth.gov.uk/sites/default/files/privacy/Retention-Schedule.pdf</w:t>
        </w:r>
      </w:hyperlink>
      <w:hyperlink r:id="rId7">
        <w:r w:rsidRPr="0096671B">
          <w:t xml:space="preserve"> </w:t>
        </w:r>
      </w:hyperlink>
    </w:p>
    <w:p w14:paraId="6295DE74" w14:textId="77777777" w:rsidR="002E6AD7" w:rsidRDefault="00256082">
      <w:pPr>
        <w:spacing w:after="269"/>
        <w:ind w:left="-5"/>
      </w:pPr>
      <w:r>
        <w:rPr>
          <w:b/>
          <w:shd w:val="clear" w:color="auto" w:fill="D3D3D3"/>
        </w:rPr>
        <w:t>Rights:</w:t>
      </w:r>
      <w:r>
        <w:t xml:space="preserve"> You have certain rights under UK Data Protection law including: </w:t>
      </w:r>
    </w:p>
    <w:p w14:paraId="2A83F8AF" w14:textId="77777777" w:rsidR="002E6AD7" w:rsidRDefault="00256082">
      <w:pPr>
        <w:numPr>
          <w:ilvl w:val="0"/>
          <w:numId w:val="1"/>
        </w:numPr>
        <w:ind w:hanging="360"/>
      </w:pPr>
      <w:r>
        <w:t>The right to be informed</w:t>
      </w:r>
    </w:p>
    <w:p w14:paraId="23E824AC" w14:textId="77777777" w:rsidR="002E6AD7" w:rsidRDefault="00256082">
      <w:pPr>
        <w:numPr>
          <w:ilvl w:val="0"/>
          <w:numId w:val="1"/>
        </w:numPr>
        <w:ind w:hanging="360"/>
      </w:pPr>
      <w:r>
        <w:t>The right of access to your personal data</w:t>
      </w:r>
    </w:p>
    <w:p w14:paraId="1BD39ED2" w14:textId="77777777" w:rsidR="002E6AD7" w:rsidRDefault="00256082">
      <w:pPr>
        <w:numPr>
          <w:ilvl w:val="0"/>
          <w:numId w:val="1"/>
        </w:numPr>
        <w:ind w:hanging="360"/>
      </w:pPr>
      <w:r>
        <w:t>The right of rectification (to have any inaccuracies corrected)</w:t>
      </w:r>
    </w:p>
    <w:p w14:paraId="2080AAF1" w14:textId="77777777" w:rsidR="002E6AD7" w:rsidRDefault="00256082">
      <w:pPr>
        <w:numPr>
          <w:ilvl w:val="0"/>
          <w:numId w:val="1"/>
        </w:numPr>
        <w:ind w:hanging="360"/>
      </w:pPr>
      <w:r>
        <w:t>The right of erasure (to have your records deleted)</w:t>
      </w:r>
    </w:p>
    <w:p w14:paraId="032AB26D" w14:textId="77777777" w:rsidR="002E6AD7" w:rsidRDefault="00256082">
      <w:pPr>
        <w:numPr>
          <w:ilvl w:val="0"/>
          <w:numId w:val="1"/>
        </w:numPr>
        <w:ind w:hanging="360"/>
      </w:pPr>
      <w:r>
        <w:t>The right to restrict processing</w:t>
      </w:r>
    </w:p>
    <w:p w14:paraId="180BAF08" w14:textId="77777777" w:rsidR="002E6AD7" w:rsidRDefault="00256082">
      <w:pPr>
        <w:numPr>
          <w:ilvl w:val="0"/>
          <w:numId w:val="1"/>
        </w:numPr>
        <w:ind w:hanging="360"/>
      </w:pPr>
      <w:r>
        <w:t>The right to data portability</w:t>
      </w:r>
    </w:p>
    <w:p w14:paraId="4EA8A45D" w14:textId="77777777" w:rsidR="00D428EE" w:rsidRDefault="00256082">
      <w:pPr>
        <w:numPr>
          <w:ilvl w:val="0"/>
          <w:numId w:val="1"/>
        </w:numPr>
        <w:spacing w:after="270"/>
        <w:ind w:hanging="360"/>
      </w:pPr>
      <w:r>
        <w:t>The right to object</w:t>
      </w:r>
    </w:p>
    <w:p w14:paraId="13467890" w14:textId="5AC18F70" w:rsidR="002E6AD7" w:rsidRDefault="00256082">
      <w:pPr>
        <w:numPr>
          <w:ilvl w:val="0"/>
          <w:numId w:val="1"/>
        </w:numPr>
        <w:spacing w:after="270"/>
        <w:ind w:hanging="360"/>
      </w:pPr>
      <w:r>
        <w:t>Rights in relation to automated decision making and profiling</w:t>
      </w:r>
    </w:p>
    <w:p w14:paraId="118BEEB4" w14:textId="77777777" w:rsidR="002E6AD7" w:rsidRDefault="00256082">
      <w:pPr>
        <w:spacing w:after="273"/>
        <w:ind w:left="-5"/>
      </w:pPr>
      <w:r>
        <w:lastRenderedPageBreak/>
        <w:t xml:space="preserve">All rights may not be available to you in all circumstances. Further information about your rights is available on our website at: </w:t>
      </w:r>
      <w:hyperlink r:id="rId8">
        <w:r>
          <w:rPr>
            <w:color w:val="0000FF"/>
            <w:u w:val="single" w:color="0000FF"/>
          </w:rPr>
          <w:t>http://www.tamworth.gov.uk/privacy-notice</w:t>
        </w:r>
      </w:hyperlink>
      <w:hyperlink r:id="rId9">
        <w:r>
          <w:t xml:space="preserve"> </w:t>
        </w:r>
      </w:hyperlink>
      <w:r>
        <w:t>or the ICO Website at:</w:t>
      </w:r>
      <w:hyperlink r:id="rId10">
        <w:r>
          <w:rPr>
            <w:rFonts w:ascii="Times New Roman" w:eastAsia="Times New Roman" w:hAnsi="Times New Roman" w:cs="Times New Roman"/>
          </w:rPr>
          <w:t xml:space="preserve"> </w:t>
        </w:r>
      </w:hyperlink>
      <w:hyperlink r:id="rId11">
        <w:r>
          <w:rPr>
            <w:color w:val="0000FF"/>
            <w:u w:val="single" w:color="0000FF"/>
          </w:rPr>
          <w:t>https://ico.org.uk/for</w:t>
        </w:r>
      </w:hyperlink>
      <w:hyperlink r:id="rId12">
        <w:r>
          <w:rPr>
            <w:color w:val="0000FF"/>
            <w:u w:val="single" w:color="0000FF"/>
          </w:rPr>
          <w:t>-</w:t>
        </w:r>
      </w:hyperlink>
      <w:hyperlink r:id="rId13">
        <w:r>
          <w:rPr>
            <w:color w:val="0000FF"/>
            <w:u w:val="single" w:color="0000FF"/>
          </w:rPr>
          <w:t>organisations/guide</w:t>
        </w:r>
      </w:hyperlink>
      <w:hyperlink r:id="rId14">
        <w:r>
          <w:rPr>
            <w:color w:val="0000FF"/>
            <w:u w:val="single" w:color="0000FF"/>
          </w:rPr>
          <w:t>-</w:t>
        </w:r>
      </w:hyperlink>
      <w:hyperlink r:id="rId15">
        <w:r>
          <w:rPr>
            <w:color w:val="0000FF"/>
            <w:u w:val="single" w:color="0000FF"/>
          </w:rPr>
          <w:t>to</w:t>
        </w:r>
      </w:hyperlink>
      <w:hyperlink r:id="rId16">
        <w:r>
          <w:rPr>
            <w:color w:val="0000FF"/>
            <w:u w:val="single" w:color="0000FF"/>
          </w:rPr>
          <w:t>-</w:t>
        </w:r>
      </w:hyperlink>
      <w:hyperlink r:id="rId17">
        <w:r>
          <w:rPr>
            <w:color w:val="0000FF"/>
            <w:u w:val="single" w:color="0000FF"/>
          </w:rPr>
          <w:t>the</w:t>
        </w:r>
      </w:hyperlink>
      <w:hyperlink r:id="rId18">
        <w:r>
          <w:rPr>
            <w:color w:val="0000FF"/>
            <w:u w:val="single" w:color="0000FF"/>
          </w:rPr>
          <w:t>-</w:t>
        </w:r>
      </w:hyperlink>
      <w:hyperlink r:id="rId19">
        <w:r>
          <w:rPr>
            <w:color w:val="0000FF"/>
            <w:u w:val="single" w:color="0000FF"/>
          </w:rPr>
          <w:t>general</w:t>
        </w:r>
      </w:hyperlink>
      <w:hyperlink r:id="rId20">
        <w:r>
          <w:rPr>
            <w:color w:val="0000FF"/>
            <w:u w:val="single" w:color="0000FF"/>
          </w:rPr>
          <w:t>-</w:t>
        </w:r>
      </w:hyperlink>
      <w:hyperlink r:id="rId21">
        <w:r>
          <w:rPr>
            <w:color w:val="0000FF"/>
            <w:u w:val="single" w:color="0000FF"/>
          </w:rPr>
          <w:t>data</w:t>
        </w:r>
      </w:hyperlink>
      <w:hyperlink r:id="rId22">
        <w:r>
          <w:rPr>
            <w:color w:val="0000FF"/>
            <w:u w:val="single" w:color="0000FF"/>
          </w:rPr>
          <w:t>-</w:t>
        </w:r>
      </w:hyperlink>
      <w:hyperlink r:id="rId23">
        <w:r>
          <w:rPr>
            <w:color w:val="0000FF"/>
            <w:u w:val="single" w:color="0000FF"/>
          </w:rPr>
          <w:t>protection</w:t>
        </w:r>
      </w:hyperlink>
      <w:hyperlink r:id="rId24"/>
      <w:hyperlink r:id="rId25">
        <w:r>
          <w:rPr>
            <w:color w:val="0000FF"/>
            <w:u w:val="single" w:color="0000FF"/>
          </w:rPr>
          <w:t>regulation</w:t>
        </w:r>
      </w:hyperlink>
      <w:hyperlink r:id="rId26">
        <w:r>
          <w:rPr>
            <w:color w:val="0000FF"/>
            <w:u w:val="single" w:color="0000FF"/>
          </w:rPr>
          <w:t>-</w:t>
        </w:r>
      </w:hyperlink>
      <w:hyperlink r:id="rId27">
        <w:r>
          <w:rPr>
            <w:color w:val="0000FF"/>
            <w:u w:val="single" w:color="0000FF"/>
          </w:rPr>
          <w:t>gdpr/individual</w:t>
        </w:r>
      </w:hyperlink>
      <w:hyperlink r:id="rId28">
        <w:r>
          <w:rPr>
            <w:color w:val="0000FF"/>
            <w:u w:val="single" w:color="0000FF"/>
          </w:rPr>
          <w:t>-</w:t>
        </w:r>
      </w:hyperlink>
      <w:hyperlink r:id="rId29">
        <w:r>
          <w:rPr>
            <w:color w:val="0000FF"/>
            <w:u w:val="single" w:color="0000FF"/>
          </w:rPr>
          <w:t>rights/</w:t>
        </w:r>
      </w:hyperlink>
      <w:hyperlink r:id="rId30">
        <w:r>
          <w:rPr>
            <w:color w:val="0000FF"/>
          </w:rPr>
          <w:t xml:space="preserve"> </w:t>
        </w:r>
      </w:hyperlink>
    </w:p>
    <w:p w14:paraId="40512052" w14:textId="77777777" w:rsidR="002E6AD7" w:rsidRDefault="00256082">
      <w:pPr>
        <w:pStyle w:val="Heading1"/>
        <w:spacing w:after="269"/>
        <w:ind w:left="-5"/>
      </w:pPr>
      <w:r>
        <w:t>Information Collected</w:t>
      </w:r>
      <w:r>
        <w:rPr>
          <w:b w:val="0"/>
          <w:shd w:val="clear" w:color="auto" w:fill="auto"/>
        </w:rPr>
        <w:t xml:space="preserve"> </w:t>
      </w:r>
    </w:p>
    <w:p w14:paraId="0351B4B9" w14:textId="77777777" w:rsidR="002E6AD7" w:rsidRDefault="00256082">
      <w:pPr>
        <w:ind w:left="-5"/>
      </w:pPr>
      <w:r>
        <w:t xml:space="preserve">Name  </w:t>
      </w:r>
    </w:p>
    <w:p w14:paraId="708EC2E5" w14:textId="77777777" w:rsidR="002E6AD7" w:rsidRDefault="00256082">
      <w:pPr>
        <w:ind w:left="-5"/>
      </w:pPr>
      <w:r>
        <w:t xml:space="preserve">Address </w:t>
      </w:r>
    </w:p>
    <w:p w14:paraId="2FD7B30C" w14:textId="77777777" w:rsidR="002E6AD7" w:rsidRDefault="00256082">
      <w:pPr>
        <w:ind w:left="-5"/>
      </w:pPr>
      <w:r>
        <w:t xml:space="preserve">Date of Birth </w:t>
      </w:r>
    </w:p>
    <w:p w14:paraId="00FC947A" w14:textId="77777777" w:rsidR="002E6AD7" w:rsidRDefault="00256082">
      <w:pPr>
        <w:ind w:left="-5"/>
      </w:pPr>
      <w:r>
        <w:t xml:space="preserve">Gender  </w:t>
      </w:r>
    </w:p>
    <w:p w14:paraId="74D8B9E0" w14:textId="77777777" w:rsidR="002E6AD7" w:rsidRDefault="00256082">
      <w:pPr>
        <w:ind w:left="-5"/>
      </w:pPr>
      <w:r>
        <w:t xml:space="preserve">Contact Information </w:t>
      </w:r>
    </w:p>
    <w:p w14:paraId="395FB100" w14:textId="77777777" w:rsidR="002E6AD7" w:rsidRDefault="00256082">
      <w:pPr>
        <w:ind w:left="-5"/>
      </w:pPr>
      <w:r>
        <w:t xml:space="preserve">Financial Information </w:t>
      </w:r>
    </w:p>
    <w:p w14:paraId="27161E4D" w14:textId="77777777" w:rsidR="002E6AD7" w:rsidRDefault="00256082">
      <w:pPr>
        <w:ind w:left="-5"/>
      </w:pPr>
      <w:r>
        <w:t xml:space="preserve">Payment Information </w:t>
      </w:r>
    </w:p>
    <w:p w14:paraId="16952686" w14:textId="77777777" w:rsidR="002E6AD7" w:rsidRDefault="00256082">
      <w:pPr>
        <w:ind w:left="-5"/>
      </w:pPr>
      <w:r>
        <w:t xml:space="preserve">Nationality  </w:t>
      </w:r>
    </w:p>
    <w:p w14:paraId="72F39F25" w14:textId="77777777" w:rsidR="002E6AD7" w:rsidRDefault="00256082">
      <w:pPr>
        <w:spacing w:after="0" w:line="259" w:lineRule="auto"/>
        <w:ind w:left="0" w:firstLine="0"/>
      </w:pPr>
      <w:r>
        <w:t xml:space="preserve"> </w:t>
      </w:r>
    </w:p>
    <w:p w14:paraId="072D3EB0" w14:textId="77777777" w:rsidR="002E6AD7" w:rsidRDefault="00256082">
      <w:pPr>
        <w:spacing w:line="250" w:lineRule="auto"/>
        <w:ind w:left="-5"/>
      </w:pPr>
      <w:r>
        <w:rPr>
          <w:b/>
          <w:shd w:val="clear" w:color="auto" w:fill="D3D3D3"/>
        </w:rPr>
        <w:t>“Special” category Information Collected</w:t>
      </w:r>
      <w:r>
        <w:rPr>
          <w:b/>
        </w:rPr>
        <w:t xml:space="preserve"> </w:t>
      </w:r>
    </w:p>
    <w:p w14:paraId="6DCA9D4F" w14:textId="77777777" w:rsidR="002E6AD7" w:rsidRDefault="00256082">
      <w:pPr>
        <w:spacing w:after="0" w:line="259" w:lineRule="auto"/>
        <w:ind w:left="0" w:firstLine="0"/>
      </w:pPr>
      <w:r>
        <w:t xml:space="preserve"> </w:t>
      </w:r>
    </w:p>
    <w:p w14:paraId="1101C275" w14:textId="77777777" w:rsidR="002E6AD7" w:rsidRDefault="00256082">
      <w:pPr>
        <w:ind w:left="-5"/>
      </w:pPr>
      <w:r>
        <w:t xml:space="preserve">Criminal convictions   </w:t>
      </w:r>
    </w:p>
    <w:p w14:paraId="0B8DC591" w14:textId="77777777" w:rsidR="002E6AD7" w:rsidRDefault="00256082">
      <w:pPr>
        <w:spacing w:after="0" w:line="259" w:lineRule="auto"/>
        <w:ind w:left="0" w:firstLine="0"/>
      </w:pPr>
      <w:r>
        <w:t xml:space="preserve"> </w:t>
      </w:r>
    </w:p>
    <w:p w14:paraId="58E114F4" w14:textId="77777777" w:rsidR="002E6AD7" w:rsidRDefault="00256082">
      <w:pPr>
        <w:pStyle w:val="Heading1"/>
        <w:ind w:left="-5"/>
      </w:pPr>
      <w:r>
        <w:t>Purpose Collected</w:t>
      </w:r>
      <w:r>
        <w:rPr>
          <w:shd w:val="clear" w:color="auto" w:fill="auto"/>
        </w:rPr>
        <w:t xml:space="preserve"> </w:t>
      </w:r>
    </w:p>
    <w:p w14:paraId="4DEDC735" w14:textId="77777777" w:rsidR="002E6AD7" w:rsidRDefault="00256082">
      <w:pPr>
        <w:spacing w:after="0" w:line="259" w:lineRule="auto"/>
        <w:ind w:left="0" w:firstLine="0"/>
      </w:pPr>
      <w:r>
        <w:rPr>
          <w:b/>
        </w:rPr>
        <w:t xml:space="preserve"> </w:t>
      </w:r>
    </w:p>
    <w:p w14:paraId="36000BAE" w14:textId="77777777" w:rsidR="002E6AD7" w:rsidRDefault="00256082">
      <w:pPr>
        <w:ind w:left="-5"/>
      </w:pPr>
      <w:r>
        <w:t xml:space="preserve">The law says that any premises used for a food business must be registered. To store, prepare, distribute or sell food on premises you must register with us. The register allows us to keep an up-to-date list of all premises in our area so that we can visit them to carry out inspections.  </w:t>
      </w:r>
    </w:p>
    <w:p w14:paraId="3ACCDA5E" w14:textId="77777777" w:rsidR="002E6AD7" w:rsidRDefault="00256082">
      <w:pPr>
        <w:spacing w:after="0" w:line="259" w:lineRule="auto"/>
        <w:ind w:left="0" w:firstLine="0"/>
      </w:pPr>
      <w:r>
        <w:t xml:space="preserve"> </w:t>
      </w:r>
    </w:p>
    <w:p w14:paraId="5FE21EEA" w14:textId="77777777" w:rsidR="002E6AD7" w:rsidRDefault="00256082">
      <w:pPr>
        <w:ind w:left="-5"/>
      </w:pPr>
      <w:r>
        <w:t xml:space="preserve">We use your personal information to help us determine your eligibility and suitability to register a food business.  </w:t>
      </w:r>
    </w:p>
    <w:p w14:paraId="00C8DDE3" w14:textId="77777777" w:rsidR="002E6AD7" w:rsidRDefault="00256082">
      <w:pPr>
        <w:spacing w:after="0" w:line="259" w:lineRule="auto"/>
        <w:ind w:left="0" w:firstLine="0"/>
      </w:pPr>
      <w:r>
        <w:t xml:space="preserve"> </w:t>
      </w:r>
    </w:p>
    <w:p w14:paraId="34F51001" w14:textId="77777777" w:rsidR="002E6AD7" w:rsidRDefault="00256082">
      <w:pPr>
        <w:ind w:left="-5"/>
      </w:pPr>
      <w:r>
        <w:t xml:space="preserve">We also collect this information to assist us in recording and investigating complaints or concerns made about food businesses and preventing and detecting fraud or other criminal activity.   </w:t>
      </w:r>
    </w:p>
    <w:p w14:paraId="3873B53B" w14:textId="77777777" w:rsidR="002E6AD7" w:rsidRDefault="00256082">
      <w:pPr>
        <w:spacing w:after="0" w:line="259" w:lineRule="auto"/>
        <w:ind w:left="0" w:firstLine="0"/>
      </w:pPr>
      <w:r>
        <w:t xml:space="preserve"> </w:t>
      </w:r>
    </w:p>
    <w:p w14:paraId="49FC669F" w14:textId="77777777" w:rsidR="002E6AD7" w:rsidRDefault="00256082">
      <w:pPr>
        <w:pStyle w:val="Heading1"/>
        <w:ind w:left="-5"/>
      </w:pPr>
      <w:r>
        <w:t>Legal Purpose</w:t>
      </w:r>
      <w:r>
        <w:rPr>
          <w:shd w:val="clear" w:color="auto" w:fill="auto"/>
        </w:rPr>
        <w:t xml:space="preserve">  </w:t>
      </w:r>
    </w:p>
    <w:p w14:paraId="72F9BD2C" w14:textId="77777777" w:rsidR="002E6AD7" w:rsidRDefault="00256082">
      <w:pPr>
        <w:spacing w:after="0" w:line="259" w:lineRule="auto"/>
        <w:ind w:left="0" w:firstLine="0"/>
      </w:pPr>
      <w:r>
        <w:rPr>
          <w:b/>
        </w:rPr>
        <w:t xml:space="preserve"> </w:t>
      </w:r>
    </w:p>
    <w:p w14:paraId="71DB31E6" w14:textId="77777777" w:rsidR="002E6AD7" w:rsidRDefault="00256082">
      <w:pPr>
        <w:ind w:left="-5"/>
      </w:pPr>
      <w:r>
        <w:t xml:space="preserve">We will only use your personal information when the law allows us to. Most commonly we will use your personal information under </w:t>
      </w:r>
      <w:r>
        <w:rPr>
          <w:b/>
        </w:rPr>
        <w:t>Legal Obligation</w:t>
      </w:r>
      <w:r>
        <w:t xml:space="preserve"> as the processing is necessary for us to comply with the law namely:  </w:t>
      </w:r>
    </w:p>
    <w:p w14:paraId="01163A92" w14:textId="77777777" w:rsidR="002E6AD7" w:rsidRDefault="00256082">
      <w:pPr>
        <w:spacing w:after="0" w:line="259" w:lineRule="auto"/>
        <w:ind w:left="0" w:firstLine="0"/>
      </w:pPr>
      <w:r>
        <w:t xml:space="preserve"> </w:t>
      </w:r>
    </w:p>
    <w:p w14:paraId="4CD1A9D0" w14:textId="77777777" w:rsidR="002E6AD7" w:rsidRDefault="00256082">
      <w:pPr>
        <w:ind w:left="-5"/>
      </w:pPr>
      <w:r>
        <w:t xml:space="preserve">Food Safety Act 1990 </w:t>
      </w:r>
    </w:p>
    <w:p w14:paraId="226C61F0" w14:textId="77777777" w:rsidR="002E6AD7" w:rsidRDefault="00256082">
      <w:pPr>
        <w:ind w:left="-5"/>
      </w:pPr>
      <w:r>
        <w:t xml:space="preserve">Food Safety and Hygiene (England) Regulations 2013 </w:t>
      </w:r>
    </w:p>
    <w:p w14:paraId="32F5FD2B" w14:textId="77777777" w:rsidR="002E6AD7" w:rsidRDefault="00256082">
      <w:pPr>
        <w:ind w:left="-5"/>
      </w:pPr>
      <w:r>
        <w:t xml:space="preserve">Food and Environmental Protection Act 1985 </w:t>
      </w:r>
    </w:p>
    <w:p w14:paraId="21FE3151" w14:textId="77777777" w:rsidR="002E6AD7" w:rsidRDefault="00256082">
      <w:pPr>
        <w:ind w:left="-5"/>
      </w:pPr>
      <w:r>
        <w:t xml:space="preserve">General Food Regulations 2004 </w:t>
      </w:r>
    </w:p>
    <w:p w14:paraId="2FB6A9F9" w14:textId="7E20130E" w:rsidR="002E6AD7" w:rsidRDefault="00D428EE">
      <w:pPr>
        <w:ind w:left="-5"/>
      </w:pPr>
      <w:r>
        <w:lastRenderedPageBreak/>
        <w:t xml:space="preserve">Assimilated </w:t>
      </w:r>
      <w:r w:rsidR="00256082">
        <w:t xml:space="preserve">Regulation (EC) 178/2002 </w:t>
      </w:r>
    </w:p>
    <w:p w14:paraId="0DA37C1E" w14:textId="6DB9E85F" w:rsidR="002E6AD7" w:rsidRDefault="00D428EE">
      <w:pPr>
        <w:ind w:left="-5"/>
      </w:pPr>
      <w:r>
        <w:t xml:space="preserve">Assimilated </w:t>
      </w:r>
      <w:r w:rsidR="00256082">
        <w:t xml:space="preserve">Regulation (EC) 852/2004 </w:t>
      </w:r>
    </w:p>
    <w:p w14:paraId="53DD4963" w14:textId="205007DB" w:rsidR="002E6AD7" w:rsidRDefault="00D428EE" w:rsidP="00D428EE">
      <w:pPr>
        <w:ind w:left="-5" w:right="5300"/>
      </w:pPr>
      <w:r>
        <w:t xml:space="preserve">Assimilated </w:t>
      </w:r>
      <w:r w:rsidR="00256082">
        <w:t xml:space="preserve">Regulation (EC) 853/2004 </w:t>
      </w:r>
      <w:r>
        <w:t xml:space="preserve">Assimilated </w:t>
      </w:r>
      <w:r w:rsidR="00256082">
        <w:t xml:space="preserve">Regulation (EC) 882/2004 </w:t>
      </w:r>
    </w:p>
    <w:p w14:paraId="6B554789" w14:textId="77777777" w:rsidR="002E6AD7" w:rsidRDefault="00256082">
      <w:pPr>
        <w:ind w:left="-5"/>
      </w:pPr>
      <w:r>
        <w:t xml:space="preserve">and all other relevant regulations &amp; European Directives  </w:t>
      </w:r>
    </w:p>
    <w:p w14:paraId="66688650" w14:textId="1F5C3FB3" w:rsidR="002E6AD7" w:rsidRDefault="00256082">
      <w:pPr>
        <w:spacing w:after="0" w:line="259" w:lineRule="auto"/>
        <w:ind w:left="0" w:firstLine="0"/>
      </w:pPr>
      <w:r>
        <w:t xml:space="preserve"> </w:t>
      </w:r>
    </w:p>
    <w:p w14:paraId="52F59F20" w14:textId="77777777" w:rsidR="002E6AD7" w:rsidRDefault="00256082">
      <w:pPr>
        <w:ind w:left="-5"/>
      </w:pPr>
      <w:r>
        <w:t xml:space="preserve">Some of your information may also be used: </w:t>
      </w:r>
    </w:p>
    <w:p w14:paraId="33E67654" w14:textId="77777777" w:rsidR="002E6AD7" w:rsidRDefault="00256082">
      <w:pPr>
        <w:spacing w:after="13" w:line="259" w:lineRule="auto"/>
        <w:ind w:left="0" w:firstLine="0"/>
      </w:pPr>
      <w:r>
        <w:t xml:space="preserve"> </w:t>
      </w:r>
    </w:p>
    <w:p w14:paraId="2B5636FB" w14:textId="77777777" w:rsidR="002E6AD7" w:rsidRDefault="00256082">
      <w:pPr>
        <w:numPr>
          <w:ilvl w:val="0"/>
          <w:numId w:val="2"/>
        </w:numPr>
        <w:ind w:hanging="360"/>
      </w:pPr>
      <w:r>
        <w:t xml:space="preserve">to safeguard adults, and children under the Children’s Act 1989 </w:t>
      </w:r>
    </w:p>
    <w:p w14:paraId="2587F315" w14:textId="77777777" w:rsidR="002E6AD7" w:rsidRDefault="00256082">
      <w:pPr>
        <w:numPr>
          <w:ilvl w:val="0"/>
          <w:numId w:val="2"/>
        </w:numPr>
        <w:ind w:hanging="360"/>
      </w:pPr>
      <w:r>
        <w:t xml:space="preserve">for the prevention and detection of fraud under Digital Economy Act 2017 (Part 5) </w:t>
      </w:r>
    </w:p>
    <w:p w14:paraId="6B85336F" w14:textId="77777777" w:rsidR="002E6AD7" w:rsidRDefault="00256082">
      <w:pPr>
        <w:numPr>
          <w:ilvl w:val="0"/>
          <w:numId w:val="2"/>
        </w:numPr>
        <w:spacing w:after="27"/>
        <w:ind w:hanging="360"/>
      </w:pPr>
      <w:r>
        <w:t xml:space="preserve">to assist with debt management or to assist with the collection of money owing to the borough council such as rent, council tax, or other sundry debts </w:t>
      </w:r>
    </w:p>
    <w:p w14:paraId="70131C1D" w14:textId="2F87F653" w:rsidR="002E6AD7" w:rsidRDefault="00256082">
      <w:pPr>
        <w:numPr>
          <w:ilvl w:val="0"/>
          <w:numId w:val="2"/>
        </w:numPr>
        <w:ind w:hanging="360"/>
      </w:pPr>
      <w:r>
        <w:t xml:space="preserve">for the detection and prevention of crime under the Crime and Disorder Act 1998 (Reformed 2014) </w:t>
      </w:r>
    </w:p>
    <w:p w14:paraId="282A68DE" w14:textId="77777777" w:rsidR="002E6AD7" w:rsidRDefault="00256082">
      <w:pPr>
        <w:spacing w:after="0" w:line="259" w:lineRule="auto"/>
        <w:ind w:left="0" w:firstLine="0"/>
      </w:pPr>
      <w:r>
        <w:t xml:space="preserve"> </w:t>
      </w:r>
    </w:p>
    <w:p w14:paraId="7E05C883" w14:textId="77777777" w:rsidR="002E6AD7" w:rsidRDefault="00256082">
      <w:pPr>
        <w:spacing w:after="0" w:line="259" w:lineRule="auto"/>
        <w:ind w:left="0" w:firstLine="0"/>
      </w:pPr>
      <w:r>
        <w:t xml:space="preserve"> </w:t>
      </w:r>
    </w:p>
    <w:p w14:paraId="3EEA4ED0" w14:textId="77777777" w:rsidR="002E6AD7" w:rsidRDefault="00256082">
      <w:pPr>
        <w:pStyle w:val="Heading1"/>
        <w:ind w:left="-5"/>
      </w:pPr>
      <w:r>
        <w:t>Third Parties we might share information with</w:t>
      </w:r>
      <w:r>
        <w:rPr>
          <w:shd w:val="clear" w:color="auto" w:fill="auto"/>
        </w:rPr>
        <w:t xml:space="preserve"> </w:t>
      </w:r>
    </w:p>
    <w:p w14:paraId="3DDE59E7" w14:textId="77777777" w:rsidR="002E6AD7" w:rsidRDefault="00256082">
      <w:pPr>
        <w:spacing w:after="0" w:line="259" w:lineRule="auto"/>
        <w:ind w:left="0" w:firstLine="0"/>
      </w:pPr>
      <w:r>
        <w:rPr>
          <w:b/>
        </w:rPr>
        <w:t xml:space="preserve"> </w:t>
      </w:r>
    </w:p>
    <w:p w14:paraId="162BD2AE" w14:textId="77777777" w:rsidR="002E6AD7" w:rsidRDefault="00256082">
      <w:pPr>
        <w:ind w:left="-5"/>
      </w:pPr>
      <w:r>
        <w:t xml:space="preserve">We will share your personal information with third parties where required by law or where it is necessary to administer your Housing Benefit, Council Tax Reduction or Second Adult Rebate application. Examples of the organisations we may need to share information with are below, this list is not exhaustive: </w:t>
      </w:r>
    </w:p>
    <w:p w14:paraId="2A3E15EF" w14:textId="77777777" w:rsidR="002E6AD7" w:rsidRDefault="00256082">
      <w:pPr>
        <w:spacing w:after="0" w:line="259" w:lineRule="auto"/>
        <w:ind w:left="0" w:firstLine="0"/>
      </w:pPr>
      <w:r>
        <w:t xml:space="preserve"> </w:t>
      </w:r>
    </w:p>
    <w:p w14:paraId="2ADC388F" w14:textId="77777777" w:rsidR="002E6AD7" w:rsidRDefault="00256082">
      <w:pPr>
        <w:ind w:left="-5"/>
      </w:pPr>
      <w:r>
        <w:t xml:space="preserve">Tamworth Borough Council Revenues Department  </w:t>
      </w:r>
    </w:p>
    <w:p w14:paraId="5D728B68" w14:textId="77777777" w:rsidR="002E6AD7" w:rsidRDefault="00256082">
      <w:pPr>
        <w:ind w:left="-5"/>
      </w:pPr>
      <w:r>
        <w:t xml:space="preserve">Tamworth Borough Council Community Safety Team </w:t>
      </w:r>
    </w:p>
    <w:p w14:paraId="0E5AFD3C" w14:textId="77777777" w:rsidR="002E6AD7" w:rsidRDefault="00256082">
      <w:pPr>
        <w:ind w:left="-5"/>
      </w:pPr>
      <w:r>
        <w:t xml:space="preserve">Tamworth Borough Council Finance Department </w:t>
      </w:r>
    </w:p>
    <w:p w14:paraId="53B1A237" w14:textId="77777777" w:rsidR="002E6AD7" w:rsidRDefault="00256082">
      <w:pPr>
        <w:ind w:left="-5"/>
      </w:pPr>
      <w:r>
        <w:t xml:space="preserve">Tamworth Borough Council Audit Department  </w:t>
      </w:r>
    </w:p>
    <w:p w14:paraId="60A8F364" w14:textId="77777777" w:rsidR="002E6AD7" w:rsidRDefault="00256082">
      <w:pPr>
        <w:ind w:left="-5"/>
      </w:pPr>
      <w:r>
        <w:t xml:space="preserve">Department for Work and Pensions  </w:t>
      </w:r>
    </w:p>
    <w:p w14:paraId="4C8E343F" w14:textId="77777777" w:rsidR="002E6AD7" w:rsidRDefault="00256082">
      <w:pPr>
        <w:ind w:left="-5"/>
      </w:pPr>
      <w:r>
        <w:t xml:space="preserve">HM Revenues and Customs  </w:t>
      </w:r>
    </w:p>
    <w:p w14:paraId="06772477" w14:textId="77777777" w:rsidR="002E6AD7" w:rsidRDefault="00256082">
      <w:pPr>
        <w:ind w:left="-5"/>
      </w:pPr>
      <w:r>
        <w:t xml:space="preserve">National Fraud Initiative  </w:t>
      </w:r>
    </w:p>
    <w:p w14:paraId="23BE98F6" w14:textId="77777777" w:rsidR="002E6AD7" w:rsidRDefault="00256082">
      <w:pPr>
        <w:ind w:left="-5"/>
      </w:pPr>
      <w:r>
        <w:t xml:space="preserve">Other Government Bodies </w:t>
      </w:r>
    </w:p>
    <w:p w14:paraId="0A798975" w14:textId="77777777" w:rsidR="002E6AD7" w:rsidRDefault="00256082">
      <w:pPr>
        <w:ind w:left="-5"/>
      </w:pPr>
      <w:r>
        <w:t xml:space="preserve">Published as part of a Public Register   </w:t>
      </w:r>
    </w:p>
    <w:p w14:paraId="739B08FF" w14:textId="77777777" w:rsidR="002E6AD7" w:rsidRDefault="00256082">
      <w:pPr>
        <w:ind w:left="-5"/>
      </w:pPr>
      <w:r>
        <w:t xml:space="preserve">Police Authorities  </w:t>
      </w:r>
    </w:p>
    <w:p w14:paraId="1DB50105" w14:textId="77777777" w:rsidR="002E6AD7" w:rsidRDefault="00256082">
      <w:pPr>
        <w:ind w:left="-5"/>
      </w:pPr>
      <w:r>
        <w:t xml:space="preserve">Food Standards Agency (FSA) </w:t>
      </w:r>
    </w:p>
    <w:p w14:paraId="43F4E353" w14:textId="77777777" w:rsidR="002E6AD7" w:rsidRDefault="00256082">
      <w:pPr>
        <w:spacing w:after="0" w:line="259" w:lineRule="auto"/>
        <w:ind w:left="0" w:firstLine="0"/>
      </w:pPr>
      <w:r>
        <w:t xml:space="preserve"> </w:t>
      </w:r>
    </w:p>
    <w:p w14:paraId="24C1BE12" w14:textId="77777777" w:rsidR="002E6AD7" w:rsidRDefault="00256082">
      <w:pPr>
        <w:pStyle w:val="Heading1"/>
        <w:ind w:left="-5"/>
      </w:pPr>
      <w:r>
        <w:t>Third Parties we might gather information from</w:t>
      </w:r>
      <w:r>
        <w:rPr>
          <w:shd w:val="clear" w:color="auto" w:fill="auto"/>
        </w:rPr>
        <w:t xml:space="preserve"> </w:t>
      </w:r>
    </w:p>
    <w:p w14:paraId="37A586FD" w14:textId="77777777" w:rsidR="002E6AD7" w:rsidRDefault="00256082">
      <w:pPr>
        <w:spacing w:after="0" w:line="259" w:lineRule="auto"/>
        <w:ind w:left="0" w:firstLine="0"/>
      </w:pPr>
      <w:r>
        <w:rPr>
          <w:b/>
        </w:rPr>
        <w:t xml:space="preserve"> </w:t>
      </w:r>
    </w:p>
    <w:p w14:paraId="64387891" w14:textId="77777777" w:rsidR="002E6AD7" w:rsidRDefault="00256082">
      <w:pPr>
        <w:ind w:left="-5"/>
      </w:pPr>
      <w:r>
        <w:t xml:space="preserve">We may gather information from third parties where required by law or where it is necessary to confirm information provided to us. Examples of the organisations we may gather information from are below, this list is not exhaustive: </w:t>
      </w:r>
    </w:p>
    <w:p w14:paraId="657638A7" w14:textId="77777777" w:rsidR="002E6AD7" w:rsidRDefault="00256082">
      <w:pPr>
        <w:spacing w:after="0" w:line="259" w:lineRule="auto"/>
        <w:ind w:left="0" w:firstLine="0"/>
      </w:pPr>
      <w:r>
        <w:t xml:space="preserve"> </w:t>
      </w:r>
    </w:p>
    <w:p w14:paraId="036840AE" w14:textId="77777777" w:rsidR="002E6AD7" w:rsidRDefault="00256082">
      <w:pPr>
        <w:ind w:left="-5"/>
      </w:pPr>
      <w:r>
        <w:t xml:space="preserve">Companies House </w:t>
      </w:r>
    </w:p>
    <w:p w14:paraId="5185F6CD" w14:textId="77777777" w:rsidR="002E6AD7" w:rsidRDefault="00256082">
      <w:pPr>
        <w:ind w:left="-5"/>
      </w:pPr>
      <w:r>
        <w:t xml:space="preserve">Bankruptcy and Insolvency Register – GOV.UK </w:t>
      </w:r>
    </w:p>
    <w:p w14:paraId="1B59FB07" w14:textId="77777777" w:rsidR="002E6AD7" w:rsidRDefault="00256082">
      <w:pPr>
        <w:ind w:left="-5"/>
      </w:pPr>
      <w:r>
        <w:t xml:space="preserve">Council Tax </w:t>
      </w:r>
    </w:p>
    <w:p w14:paraId="66000C3D" w14:textId="77777777" w:rsidR="002E6AD7" w:rsidRDefault="00256082">
      <w:pPr>
        <w:spacing w:after="0" w:line="259" w:lineRule="auto"/>
        <w:ind w:left="0" w:firstLine="0"/>
      </w:pPr>
      <w:r>
        <w:lastRenderedPageBreak/>
        <w:t xml:space="preserve"> </w:t>
      </w:r>
    </w:p>
    <w:p w14:paraId="2AE2720E" w14:textId="77777777" w:rsidR="002E6AD7" w:rsidRDefault="00256082">
      <w:pPr>
        <w:spacing w:line="250" w:lineRule="auto"/>
        <w:ind w:left="-5"/>
      </w:pPr>
      <w:r>
        <w:rPr>
          <w:b/>
          <w:shd w:val="clear" w:color="auto" w:fill="D3D3D3"/>
        </w:rPr>
        <w:t>Third-Parties Service Providers – Which third parties process my personal information?</w:t>
      </w:r>
      <w:r>
        <w:rPr>
          <w:b/>
        </w:rPr>
        <w:t xml:space="preserve"> </w:t>
      </w:r>
    </w:p>
    <w:p w14:paraId="4C3E3A28" w14:textId="77777777" w:rsidR="002E6AD7" w:rsidRDefault="00256082">
      <w:pPr>
        <w:spacing w:after="0" w:line="259" w:lineRule="auto"/>
        <w:ind w:left="0" w:firstLine="0"/>
      </w:pPr>
      <w:r>
        <w:rPr>
          <w:b/>
        </w:rPr>
        <w:t xml:space="preserve"> </w:t>
      </w:r>
    </w:p>
    <w:p w14:paraId="0A49FDC8" w14:textId="77777777" w:rsidR="002E6AD7" w:rsidRDefault="00256082">
      <w:pPr>
        <w:ind w:left="-5"/>
      </w:pPr>
      <w:r>
        <w:t xml:space="preserve">Third-Party Service Providers are companies who process your information on Tamworth Borough Council’s behalf. </w:t>
      </w:r>
    </w:p>
    <w:p w14:paraId="53998EB0" w14:textId="77777777" w:rsidR="002E6AD7" w:rsidRDefault="00256082">
      <w:pPr>
        <w:spacing w:after="0" w:line="259" w:lineRule="auto"/>
        <w:ind w:left="0" w:firstLine="0"/>
      </w:pPr>
      <w:r>
        <w:t xml:space="preserve"> </w:t>
      </w:r>
    </w:p>
    <w:p w14:paraId="4503D625" w14:textId="474D9642" w:rsidR="002E6AD7" w:rsidRDefault="00256082">
      <w:pPr>
        <w:ind w:left="-5"/>
      </w:pPr>
      <w:r>
        <w:t xml:space="preserve">The following </w:t>
      </w:r>
      <w:r w:rsidR="00D428EE">
        <w:t>third parties</w:t>
      </w:r>
      <w:r>
        <w:t xml:space="preserve"> process personal information about you for the following purposes:  </w:t>
      </w:r>
    </w:p>
    <w:p w14:paraId="3F3B2BF9" w14:textId="77777777" w:rsidR="002E6AD7" w:rsidRDefault="00256082">
      <w:pPr>
        <w:spacing w:after="0" w:line="259" w:lineRule="auto"/>
        <w:ind w:left="0" w:firstLine="0"/>
      </w:pPr>
      <w:r>
        <w:rPr>
          <w:b/>
        </w:rPr>
        <w:t xml:space="preserve"> </w:t>
      </w:r>
    </w:p>
    <w:p w14:paraId="5C12C3D3" w14:textId="17083138" w:rsidR="002E6AD7" w:rsidRDefault="00D428EE">
      <w:pPr>
        <w:ind w:left="-5"/>
      </w:pPr>
      <w:r>
        <w:rPr>
          <w:b/>
        </w:rPr>
        <w:t>NEC</w:t>
      </w:r>
      <w:r w:rsidR="00256082">
        <w:t xml:space="preserve"> – The Council’s IT provider </w:t>
      </w:r>
      <w:r>
        <w:t>NEC</w:t>
      </w:r>
      <w:r w:rsidR="00256082">
        <w:t xml:space="preserve"> may have to access to your personal information on occasions where there is a fault   </w:t>
      </w:r>
    </w:p>
    <w:p w14:paraId="56EF63B9" w14:textId="77777777" w:rsidR="002E6AD7" w:rsidRDefault="00256082">
      <w:pPr>
        <w:spacing w:after="0" w:line="259" w:lineRule="auto"/>
        <w:ind w:left="0" w:firstLine="0"/>
      </w:pPr>
      <w:r>
        <w:rPr>
          <w:b/>
        </w:rPr>
        <w:t xml:space="preserve"> </w:t>
      </w:r>
    </w:p>
    <w:p w14:paraId="38D18387" w14:textId="77777777" w:rsidR="002E6AD7" w:rsidRDefault="00256082">
      <w:pPr>
        <w:spacing w:line="250" w:lineRule="auto"/>
        <w:ind w:left="-5"/>
      </w:pPr>
      <w:r>
        <w:rPr>
          <w:b/>
          <w:shd w:val="clear" w:color="auto" w:fill="D3D3D3"/>
        </w:rPr>
        <w:t>How secure is my information with third-party service providers?</w:t>
      </w:r>
      <w:r>
        <w:rPr>
          <w:b/>
        </w:rPr>
        <w:t xml:space="preserve">  </w:t>
      </w:r>
    </w:p>
    <w:p w14:paraId="58AFAB48" w14:textId="77777777" w:rsidR="002E6AD7" w:rsidRDefault="00256082">
      <w:pPr>
        <w:spacing w:after="0" w:line="259" w:lineRule="auto"/>
        <w:ind w:left="0" w:firstLine="0"/>
      </w:pPr>
      <w:r>
        <w:t xml:space="preserve"> </w:t>
      </w:r>
    </w:p>
    <w:p w14:paraId="664ACFCE" w14:textId="77777777" w:rsidR="002E6AD7" w:rsidRDefault="00256082">
      <w:pPr>
        <w:ind w:left="-5"/>
      </w:pPr>
      <w:r>
        <w:t xml:space="preserve">All our third-party service providers are required to take appropriate security measures to protect your personal information in line with the GDPR regulations. Our third-party service providers are not permitted to use your personal data for their own purposes. We only permit them to process your personal data for specified purposes and in accordance with our instructions. </w:t>
      </w:r>
    </w:p>
    <w:p w14:paraId="5F130C31" w14:textId="77777777" w:rsidR="002E6AD7" w:rsidRDefault="00256082">
      <w:pPr>
        <w:spacing w:after="0" w:line="259" w:lineRule="auto"/>
        <w:ind w:left="0" w:firstLine="0"/>
      </w:pPr>
      <w:r>
        <w:t xml:space="preserve"> </w:t>
      </w:r>
    </w:p>
    <w:p w14:paraId="78C7A564" w14:textId="77777777" w:rsidR="002E6AD7" w:rsidRDefault="00256082">
      <w:pPr>
        <w:spacing w:after="0" w:line="240" w:lineRule="auto"/>
        <w:ind w:left="0" w:firstLine="0"/>
      </w:pPr>
      <w:r>
        <w:rPr>
          <w:color w:val="131313"/>
        </w:rPr>
        <w:t>Your personal data is processed (including storage) within the European Economic Area only.</w:t>
      </w:r>
      <w:r>
        <w:t xml:space="preserve"> </w:t>
      </w:r>
    </w:p>
    <w:p w14:paraId="1E20D542" w14:textId="77777777" w:rsidR="002E6AD7" w:rsidRDefault="00256082">
      <w:pPr>
        <w:spacing w:after="0" w:line="259" w:lineRule="auto"/>
        <w:ind w:left="0" w:firstLine="0"/>
      </w:pPr>
      <w:r>
        <w:rPr>
          <w:b/>
          <w:sz w:val="22"/>
        </w:rPr>
        <w:t xml:space="preserve"> </w:t>
      </w:r>
    </w:p>
    <w:p w14:paraId="6CA1F60D" w14:textId="77777777" w:rsidR="002E6AD7" w:rsidRDefault="00256082">
      <w:pPr>
        <w:pStyle w:val="Heading1"/>
        <w:ind w:left="-5"/>
      </w:pPr>
      <w:r>
        <w:t>More information</w:t>
      </w:r>
      <w:r>
        <w:rPr>
          <w:shd w:val="clear" w:color="auto" w:fill="auto"/>
        </w:rPr>
        <w:t xml:space="preserve"> </w:t>
      </w:r>
    </w:p>
    <w:p w14:paraId="1C694FF4" w14:textId="77777777" w:rsidR="002E6AD7" w:rsidRDefault="00256082">
      <w:pPr>
        <w:spacing w:after="0" w:line="259" w:lineRule="auto"/>
        <w:ind w:left="0" w:firstLine="0"/>
      </w:pPr>
      <w:r>
        <w:rPr>
          <w:b/>
        </w:rPr>
        <w:t xml:space="preserve"> </w:t>
      </w:r>
    </w:p>
    <w:p w14:paraId="0F2D079B" w14:textId="77777777" w:rsidR="002E6AD7" w:rsidRDefault="00256082">
      <w:pPr>
        <w:spacing w:after="269"/>
        <w:ind w:left="-5"/>
      </w:pPr>
      <w:r>
        <w:t xml:space="preserve">Tamworth Borough Council‘s Privacy Notice can be found at: </w:t>
      </w:r>
      <w:hyperlink r:id="rId31">
        <w:r>
          <w:rPr>
            <w:color w:val="0000FF"/>
            <w:u w:val="single" w:color="0000FF"/>
          </w:rPr>
          <w:t>http://www.tamworth.gov.uk/privacy</w:t>
        </w:r>
      </w:hyperlink>
      <w:hyperlink r:id="rId32">
        <w:r>
          <w:rPr>
            <w:color w:val="0000FF"/>
            <w:u w:val="single" w:color="0000FF"/>
          </w:rPr>
          <w:t>-</w:t>
        </w:r>
      </w:hyperlink>
      <w:hyperlink r:id="rId33">
        <w:r>
          <w:rPr>
            <w:color w:val="0000FF"/>
            <w:u w:val="single" w:color="0000FF"/>
          </w:rPr>
          <w:t>notice</w:t>
        </w:r>
      </w:hyperlink>
      <w:hyperlink r:id="rId34">
        <w:r>
          <w:t xml:space="preserve"> </w:t>
        </w:r>
      </w:hyperlink>
      <w:r>
        <w:t xml:space="preserve">or a hard copy provided upon request. </w:t>
      </w:r>
    </w:p>
    <w:p w14:paraId="4D896F1E" w14:textId="77777777" w:rsidR="002E6AD7" w:rsidRDefault="00256082">
      <w:pPr>
        <w:spacing w:after="274"/>
        <w:ind w:left="-5"/>
      </w:pPr>
      <w:r>
        <w:t xml:space="preserve">If you have a concern about the way that we are collecting or using your personal data, we ask that you contact us in the first instance. Alternatively, you can </w:t>
      </w:r>
      <w:hyperlink r:id="rId35">
        <w:r>
          <w:rPr>
            <w:color w:val="0000FF"/>
            <w:u w:val="single" w:color="0000FF"/>
          </w:rPr>
          <w:t>contact the Information</w:t>
        </w:r>
      </w:hyperlink>
      <w:hyperlink r:id="rId36">
        <w:r>
          <w:rPr>
            <w:color w:val="0000FF"/>
          </w:rPr>
          <w:t xml:space="preserve"> </w:t>
        </w:r>
      </w:hyperlink>
      <w:hyperlink r:id="rId37">
        <w:r>
          <w:rPr>
            <w:color w:val="0000FF"/>
            <w:u w:val="single" w:color="0000FF"/>
          </w:rPr>
          <w:t>Commissioner's Office</w:t>
        </w:r>
      </w:hyperlink>
      <w:hyperlink r:id="rId38">
        <w:r>
          <w:t>.</w:t>
        </w:r>
      </w:hyperlink>
      <w:r>
        <w:t xml:space="preserve"> </w:t>
      </w:r>
    </w:p>
    <w:p w14:paraId="2C78B960" w14:textId="77777777" w:rsidR="002E6AD7" w:rsidRDefault="00256082">
      <w:pPr>
        <w:ind w:left="-5"/>
      </w:pPr>
      <w:r>
        <w:t xml:space="preserve">This Privacy Notice may change from time to time and will be subject to annual review. The last known update/review date can be located at the top of the page. </w:t>
      </w:r>
    </w:p>
    <w:p w14:paraId="2E6C6BCC" w14:textId="77777777" w:rsidR="002E6AD7" w:rsidRDefault="00256082">
      <w:pPr>
        <w:ind w:left="-5"/>
      </w:pPr>
      <w:r>
        <w:t xml:space="preserve">By regularly reviewing this page you will ensure that you are always aware of what information we collect, how we use it and under what circumstances, if any, we share it with others. </w:t>
      </w:r>
    </w:p>
    <w:p w14:paraId="1070355F" w14:textId="77777777" w:rsidR="002E6AD7" w:rsidRDefault="00256082">
      <w:pPr>
        <w:spacing w:after="0" w:line="259" w:lineRule="auto"/>
        <w:ind w:left="0" w:firstLine="0"/>
      </w:pPr>
      <w:r>
        <w:rPr>
          <w:b/>
        </w:rPr>
        <w:t xml:space="preserve"> </w:t>
      </w:r>
    </w:p>
    <w:sectPr w:rsidR="002E6AD7">
      <w:pgSz w:w="11906" w:h="16838"/>
      <w:pgMar w:top="1444" w:right="1465" w:bottom="16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203AF"/>
    <w:multiLevelType w:val="hybridMultilevel"/>
    <w:tmpl w:val="EA567F34"/>
    <w:lvl w:ilvl="0" w:tplc="67E0656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F44FE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863A1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2C0D2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30819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D8E5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BC57A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8680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5650C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42125F"/>
    <w:multiLevelType w:val="hybridMultilevel"/>
    <w:tmpl w:val="026A1A14"/>
    <w:lvl w:ilvl="0" w:tplc="E9A4E8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A4E5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287B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2A1A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AE6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2CA2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DE23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EEC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721E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91535256">
    <w:abstractNumId w:val="1"/>
  </w:num>
  <w:num w:numId="2" w16cid:durableId="103527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D7"/>
    <w:rsid w:val="00256082"/>
    <w:rsid w:val="002E6AD7"/>
    <w:rsid w:val="0096671B"/>
    <w:rsid w:val="00B956C4"/>
    <w:rsid w:val="00D428EE"/>
    <w:rsid w:val="00E37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D7F"/>
  <w15:docId w15:val="{D5C16A56-D729-46DE-8CA8-3A202D9E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shd w:val="clear" w:color="auto" w:fill="D3D3D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shd w:val="clear" w:color="auto" w:fill="D3D3D3"/>
    </w:rPr>
  </w:style>
  <w:style w:type="character" w:styleId="CommentReference">
    <w:name w:val="annotation reference"/>
    <w:basedOn w:val="DefaultParagraphFont"/>
    <w:uiPriority w:val="99"/>
    <w:semiHidden/>
    <w:unhideWhenUsed/>
    <w:rsid w:val="00256082"/>
    <w:rPr>
      <w:sz w:val="16"/>
      <w:szCs w:val="16"/>
    </w:rPr>
  </w:style>
  <w:style w:type="paragraph" w:styleId="CommentText">
    <w:name w:val="annotation text"/>
    <w:basedOn w:val="Normal"/>
    <w:link w:val="CommentTextChar"/>
    <w:uiPriority w:val="99"/>
    <w:unhideWhenUsed/>
    <w:rsid w:val="00256082"/>
    <w:pPr>
      <w:spacing w:line="240" w:lineRule="auto"/>
    </w:pPr>
    <w:rPr>
      <w:sz w:val="20"/>
      <w:szCs w:val="20"/>
    </w:rPr>
  </w:style>
  <w:style w:type="character" w:customStyle="1" w:styleId="CommentTextChar">
    <w:name w:val="Comment Text Char"/>
    <w:basedOn w:val="DefaultParagraphFont"/>
    <w:link w:val="CommentText"/>
    <w:uiPriority w:val="99"/>
    <w:rsid w:val="0025608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56082"/>
    <w:rPr>
      <w:b/>
      <w:bCs/>
    </w:rPr>
  </w:style>
  <w:style w:type="character" w:customStyle="1" w:styleId="CommentSubjectChar">
    <w:name w:val="Comment Subject Char"/>
    <w:basedOn w:val="CommentTextChar"/>
    <w:link w:val="CommentSubject"/>
    <w:uiPriority w:val="99"/>
    <w:semiHidden/>
    <w:rsid w:val="0025608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https://ico.org.uk/for-organisations/guide-to-the-general-data-protection-regulation-gdpr/individual-rights/" TargetMode="External"/><Relationship Id="rId26" Type="http://schemas.openxmlformats.org/officeDocument/2006/relationships/hyperlink" Target="https://ico.org.uk/for-organisations/guide-to-the-general-data-protection-regulation-gdpr/individual-rights/" TargetMode="External"/><Relationship Id="rId39" Type="http://schemas.openxmlformats.org/officeDocument/2006/relationships/fontTable" Target="fontTable.xm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www.tamworth.gov.uk/privacy-notice" TargetMode="External"/><Relationship Id="rId7" Type="http://schemas.openxmlformats.org/officeDocument/2006/relationships/hyperlink" Target="https://www.tamworth.gov.uk/sites/default/files/privacy/Retention-Schedule.pdf" TargetMode="External"/><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hyperlink" Target="https://ico.org.uk/for-organisations/guide-to-the-general-data-protection-regulation-gdpr/individual-rights/" TargetMode="External"/><Relationship Id="rId25" Type="http://schemas.openxmlformats.org/officeDocument/2006/relationships/hyperlink" Target="https://ico.org.uk/for-organisations/guide-to-the-general-data-protection-regulation-gdpr/individual-rights/" TargetMode="External"/><Relationship Id="rId33" Type="http://schemas.openxmlformats.org/officeDocument/2006/relationships/hyperlink" Target="http://www.tamworth.gov.uk/privacy-notice" TargetMode="External"/><Relationship Id="rId38"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hyperlink" Target="https://ico.org.uk/for-organisations/guide-to-the-general-data-protection-regulation-gdpr/individual-rights/"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for-organisations/guide-to-the-general-data-protection-regulation-gdpr/individual-rights/" TargetMode="External"/><Relationship Id="rId1" Type="http://schemas.openxmlformats.org/officeDocument/2006/relationships/numbering" Target="numbering.xml"/><Relationship Id="rId6" Type="http://schemas.openxmlformats.org/officeDocument/2006/relationships/hyperlink" Target="https://www.tamworth.gov.uk/sites/default/files/privacy/Retention-Schedule.pdf" TargetMode="External"/><Relationship Id="rId11" Type="http://schemas.openxmlformats.org/officeDocument/2006/relationships/hyperlink" Target="https://ico.org.uk/for-organisations/guide-to-the-general-data-protection-regulation-gdpr/individual-rights/" TargetMode="External"/><Relationship Id="rId24" Type="http://schemas.openxmlformats.org/officeDocument/2006/relationships/hyperlink" Target="https://ico.org.uk/for-organisations/guide-to-the-general-data-protection-regulation-gdpr/individual-rights/" TargetMode="External"/><Relationship Id="rId32" Type="http://schemas.openxmlformats.org/officeDocument/2006/relationships/hyperlink" Target="http://www.tamworth.gov.uk/privacy-notice" TargetMode="External"/><Relationship Id="rId37" Type="http://schemas.openxmlformats.org/officeDocument/2006/relationships/hyperlink" Target="https://ico.org.uk/concerns" TargetMode="External"/><Relationship Id="rId40"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ico.org.uk/for-organisations/guide-to-the-general-data-protection-regulation-gdpr/individual-rights/"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s://ico.org.uk/for-organisations/guide-to-the-general-data-protection-regulation-gdpr/individual-rights/" TargetMode="External"/><Relationship Id="rId36" Type="http://schemas.openxmlformats.org/officeDocument/2006/relationships/hyperlink" Target="https://ico.org.uk/concerns" TargetMode="Externa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hyperlink" Target="https://ico.org.uk/for-organisations/guide-to-the-general-data-protection-regulation-gdpr/individual-rights/" TargetMode="External"/><Relationship Id="rId31" Type="http://schemas.openxmlformats.org/officeDocument/2006/relationships/hyperlink" Target="http://www.tamworth.gov.uk/privacy-notice" TargetMode="External"/><Relationship Id="rId4" Type="http://schemas.openxmlformats.org/officeDocument/2006/relationships/webSettings" Target="webSettings.xml"/><Relationship Id="rId9" Type="http://schemas.openxmlformats.org/officeDocument/2006/relationships/hyperlink" Target="http://www.tamworth.gov.uk/privacy-notice" TargetMode="External"/><Relationship Id="rId14" Type="http://schemas.openxmlformats.org/officeDocument/2006/relationships/hyperlink" Target="https://ico.org.uk/for-organisations/guide-to-the-general-data-protection-regulation-gdpr/individual-rights/"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the-general-data-protection-regulation-gdpr/individual-rights/" TargetMode="External"/><Relationship Id="rId30" Type="http://schemas.openxmlformats.org/officeDocument/2006/relationships/hyperlink" Target="https://ico.org.uk/for-organisations/guide-to-the-general-data-protection-regulation-gdpr/individual-rights/" TargetMode="External"/><Relationship Id="rId35" Type="http://schemas.openxmlformats.org/officeDocument/2006/relationships/hyperlink" Target="https://ico.org.uk/concerns" TargetMode="External"/><Relationship Id="rId8" Type="http://schemas.openxmlformats.org/officeDocument/2006/relationships/hyperlink" Target="http://www.tamworth.gov.uk/privacy-not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Hesketh, Nicola</dc:creator>
  <cp:keywords/>
  <cp:lastModifiedBy>Anna Toone</cp:lastModifiedBy>
  <cp:revision>3</cp:revision>
  <dcterms:created xsi:type="dcterms:W3CDTF">2025-12-16T14:58:00Z</dcterms:created>
  <dcterms:modified xsi:type="dcterms:W3CDTF">2025-12-19T17:55:00Z</dcterms:modified>
</cp:coreProperties>
</file>