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17" w:rsidRDefault="00927C17" w:rsidP="00927C17">
      <w:pPr>
        <w:jc w:val="center"/>
        <w:outlineLvl w:val="0"/>
        <w:rPr>
          <w:rFonts w:ascii="Arial" w:hAnsi="Arial" w:cs="Arial"/>
          <w:b/>
        </w:rPr>
      </w:pPr>
      <w:r>
        <w:rPr>
          <w:rFonts w:ascii="Arial" w:hAnsi="Arial" w:cs="Arial"/>
          <w:b/>
        </w:rPr>
        <w:t xml:space="preserve">Tamworth &amp; Lichfield </w:t>
      </w:r>
      <w:proofErr w:type="gramStart"/>
      <w:r>
        <w:rPr>
          <w:rFonts w:ascii="Arial" w:hAnsi="Arial" w:cs="Arial"/>
          <w:b/>
        </w:rPr>
        <w:t>Joint  Private</w:t>
      </w:r>
      <w:proofErr w:type="gramEnd"/>
      <w:r>
        <w:rPr>
          <w:rFonts w:ascii="Arial" w:hAnsi="Arial" w:cs="Arial"/>
          <w:b/>
        </w:rPr>
        <w:t xml:space="preserve"> Sector Landlords Forum</w:t>
      </w:r>
    </w:p>
    <w:p w:rsidR="00927C17" w:rsidRDefault="00927C17" w:rsidP="00927C17">
      <w:pPr>
        <w:jc w:val="center"/>
        <w:rPr>
          <w:rFonts w:ascii="Arial" w:hAnsi="Arial" w:cs="Arial"/>
          <w:b/>
        </w:rPr>
      </w:pPr>
    </w:p>
    <w:p w:rsidR="00927C17" w:rsidRDefault="00927C17" w:rsidP="00927C17">
      <w:pPr>
        <w:jc w:val="center"/>
        <w:outlineLvl w:val="0"/>
        <w:rPr>
          <w:rFonts w:ascii="Arial" w:hAnsi="Arial" w:cs="Arial"/>
          <w:b/>
        </w:rPr>
      </w:pPr>
      <w:r>
        <w:rPr>
          <w:rFonts w:ascii="Arial" w:hAnsi="Arial" w:cs="Arial"/>
          <w:b/>
        </w:rPr>
        <w:t xml:space="preserve">Minutes of meeting 27/19/16 </w:t>
      </w:r>
      <w:proofErr w:type="gramStart"/>
      <w:r>
        <w:rPr>
          <w:rFonts w:ascii="Arial" w:hAnsi="Arial" w:cs="Arial"/>
          <w:b/>
        </w:rPr>
        <w:t>–  held</w:t>
      </w:r>
      <w:proofErr w:type="gramEnd"/>
      <w:r>
        <w:rPr>
          <w:rFonts w:ascii="Arial" w:hAnsi="Arial" w:cs="Arial"/>
          <w:b/>
        </w:rPr>
        <w:t xml:space="preserve"> at </w:t>
      </w:r>
      <w:proofErr w:type="spellStart"/>
      <w:r>
        <w:rPr>
          <w:rFonts w:ascii="Arial" w:hAnsi="Arial" w:cs="Arial"/>
          <w:b/>
        </w:rPr>
        <w:t>Wilnecote</w:t>
      </w:r>
      <w:proofErr w:type="spellEnd"/>
      <w:r>
        <w:rPr>
          <w:rFonts w:ascii="Arial" w:hAnsi="Arial" w:cs="Arial"/>
          <w:b/>
        </w:rPr>
        <w:t xml:space="preserve"> Village Hall Tamworth </w:t>
      </w:r>
    </w:p>
    <w:p w:rsidR="00927C17" w:rsidRDefault="00927C17" w:rsidP="00927C17">
      <w:pPr>
        <w:jc w:val="center"/>
        <w:outlineLvl w:val="0"/>
        <w:rPr>
          <w:rFonts w:ascii="Arial" w:hAnsi="Arial" w:cs="Arial"/>
          <w:b/>
        </w:rPr>
      </w:pPr>
    </w:p>
    <w:p w:rsidR="00927C17" w:rsidRDefault="00927C17" w:rsidP="00927C17">
      <w:pPr>
        <w:jc w:val="center"/>
        <w:rPr>
          <w:rFonts w:ascii="Arial" w:hAnsi="Arial" w:cs="Arial"/>
          <w:b/>
        </w:rPr>
      </w:pPr>
    </w:p>
    <w:p w:rsidR="00927C17" w:rsidRPr="007D1DEA" w:rsidRDefault="00927C17" w:rsidP="00927C17">
      <w:pPr>
        <w:rPr>
          <w:rFonts w:ascii="Arial" w:hAnsi="Arial" w:cs="Arial"/>
        </w:rPr>
      </w:pPr>
      <w:r>
        <w:rPr>
          <w:rFonts w:ascii="Arial" w:hAnsi="Arial" w:cs="Arial"/>
          <w:b/>
        </w:rPr>
        <w:t>Present:</w:t>
      </w:r>
      <w:r w:rsidR="00C244C9">
        <w:rPr>
          <w:rFonts w:ascii="Arial" w:hAnsi="Arial" w:cs="Arial"/>
          <w:b/>
        </w:rPr>
        <w:t xml:space="preserve"> </w:t>
      </w:r>
      <w:r w:rsidR="00C244C9">
        <w:rPr>
          <w:rFonts w:ascii="Arial" w:hAnsi="Arial" w:cs="Arial"/>
        </w:rPr>
        <w:t xml:space="preserve">I. Beattie, R. </w:t>
      </w:r>
      <w:proofErr w:type="spellStart"/>
      <w:r w:rsidR="00C244C9">
        <w:rPr>
          <w:rFonts w:ascii="Arial" w:hAnsi="Arial" w:cs="Arial"/>
        </w:rPr>
        <w:t>Glyon</w:t>
      </w:r>
      <w:proofErr w:type="spellEnd"/>
      <w:r w:rsidR="00C244C9">
        <w:rPr>
          <w:rFonts w:ascii="Arial" w:hAnsi="Arial" w:cs="Arial"/>
        </w:rPr>
        <w:t xml:space="preserve">, M. </w:t>
      </w:r>
      <w:proofErr w:type="spellStart"/>
      <w:r w:rsidR="00C244C9">
        <w:rPr>
          <w:rFonts w:ascii="Arial" w:hAnsi="Arial" w:cs="Arial"/>
        </w:rPr>
        <w:t>Sm</w:t>
      </w:r>
      <w:r w:rsidR="005907DE">
        <w:rPr>
          <w:rFonts w:ascii="Arial" w:hAnsi="Arial" w:cs="Arial"/>
        </w:rPr>
        <w:t>ale</w:t>
      </w:r>
      <w:proofErr w:type="spellEnd"/>
      <w:r w:rsidR="005907DE">
        <w:rPr>
          <w:rFonts w:ascii="Arial" w:hAnsi="Arial" w:cs="Arial"/>
        </w:rPr>
        <w:t xml:space="preserve">, S. </w:t>
      </w:r>
      <w:proofErr w:type="spellStart"/>
      <w:r w:rsidR="005907DE">
        <w:rPr>
          <w:rFonts w:ascii="Arial" w:hAnsi="Arial" w:cs="Arial"/>
        </w:rPr>
        <w:t>Hannant</w:t>
      </w:r>
      <w:proofErr w:type="spellEnd"/>
      <w:r w:rsidR="005907DE">
        <w:rPr>
          <w:rFonts w:ascii="Arial" w:hAnsi="Arial" w:cs="Arial"/>
        </w:rPr>
        <w:t xml:space="preserve">, M. Bullock, C. Lear, D Whittaker, R. </w:t>
      </w:r>
      <w:proofErr w:type="spellStart"/>
      <w:r w:rsidR="005907DE">
        <w:rPr>
          <w:rFonts w:ascii="Arial" w:hAnsi="Arial" w:cs="Arial"/>
        </w:rPr>
        <w:t>Ohren</w:t>
      </w:r>
      <w:proofErr w:type="spellEnd"/>
      <w:r w:rsidR="005907DE">
        <w:rPr>
          <w:rFonts w:ascii="Arial" w:hAnsi="Arial" w:cs="Arial"/>
        </w:rPr>
        <w:t xml:space="preserve">, P. Rowland, B. </w:t>
      </w:r>
      <w:proofErr w:type="spellStart"/>
      <w:r w:rsidR="005907DE">
        <w:rPr>
          <w:rFonts w:ascii="Arial" w:hAnsi="Arial" w:cs="Arial"/>
        </w:rPr>
        <w:t>Goodyson</w:t>
      </w:r>
      <w:proofErr w:type="spellEnd"/>
      <w:r w:rsidR="005907DE">
        <w:rPr>
          <w:rFonts w:ascii="Arial" w:hAnsi="Arial" w:cs="Arial"/>
        </w:rPr>
        <w:t xml:space="preserve">, E. Lyons-White, A. White, </w:t>
      </w:r>
      <w:r>
        <w:rPr>
          <w:rFonts w:ascii="Arial" w:hAnsi="Arial" w:cs="Arial"/>
        </w:rPr>
        <w:t>L. Cuffe</w:t>
      </w:r>
      <w:r w:rsidRPr="007D1DEA">
        <w:rPr>
          <w:rFonts w:ascii="Arial" w:hAnsi="Arial" w:cs="Arial"/>
        </w:rPr>
        <w:t>, S. Phipps</w:t>
      </w:r>
      <w:r w:rsidR="005907DE">
        <w:rPr>
          <w:rFonts w:ascii="Arial" w:hAnsi="Arial" w:cs="Arial"/>
        </w:rPr>
        <w:t xml:space="preserve">, A. Park, P, </w:t>
      </w:r>
      <w:proofErr w:type="spellStart"/>
      <w:r w:rsidR="005907DE">
        <w:rPr>
          <w:rFonts w:ascii="Arial" w:hAnsi="Arial" w:cs="Arial"/>
        </w:rPr>
        <w:t>Hillion</w:t>
      </w:r>
      <w:proofErr w:type="spellEnd"/>
      <w:r w:rsidR="005907DE">
        <w:rPr>
          <w:rFonts w:ascii="Arial" w:hAnsi="Arial" w:cs="Arial"/>
        </w:rPr>
        <w:t>.</w:t>
      </w:r>
      <w:r w:rsidRPr="007D1DEA">
        <w:rPr>
          <w:rFonts w:ascii="Arial" w:hAnsi="Arial" w:cs="Arial"/>
        </w:rPr>
        <w:t xml:space="preserve"> </w:t>
      </w:r>
    </w:p>
    <w:p w:rsidR="00927C17" w:rsidRDefault="00927C17" w:rsidP="00927C17">
      <w:pPr>
        <w:tabs>
          <w:tab w:val="left" w:pos="3045"/>
        </w:tabs>
        <w:rPr>
          <w:rFonts w:ascii="Arial" w:hAnsi="Arial" w:cs="Arial"/>
          <w:b/>
        </w:rPr>
      </w:pPr>
      <w:r>
        <w:rPr>
          <w:rFonts w:ascii="Arial" w:hAnsi="Arial" w:cs="Arial"/>
          <w:b/>
        </w:rPr>
        <w:tab/>
      </w:r>
    </w:p>
    <w:p w:rsidR="00927C17" w:rsidRPr="00BA1480" w:rsidRDefault="00927C17" w:rsidP="00927C17">
      <w:pPr>
        <w:rPr>
          <w:rFonts w:ascii="Arial" w:hAnsi="Arial" w:cs="Arial"/>
          <w:b/>
        </w:rPr>
      </w:pPr>
      <w:r>
        <w:rPr>
          <w:rFonts w:ascii="Arial" w:hAnsi="Arial" w:cs="Arial"/>
          <w:b/>
        </w:rPr>
        <w:t>Apologies:</w:t>
      </w:r>
      <w:r>
        <w:rPr>
          <w:rFonts w:ascii="Arial" w:hAnsi="Arial" w:cs="Arial"/>
        </w:rPr>
        <w:t xml:space="preserve">   </w:t>
      </w:r>
      <w:r w:rsidR="00696D8C" w:rsidRPr="007D1DEA">
        <w:rPr>
          <w:rFonts w:ascii="Arial" w:hAnsi="Arial" w:cs="Arial"/>
        </w:rPr>
        <w:t xml:space="preserve">M. </w:t>
      </w:r>
      <w:proofErr w:type="spellStart"/>
      <w:r w:rsidR="00696D8C" w:rsidRPr="007D1DEA">
        <w:rPr>
          <w:rFonts w:ascii="Arial" w:hAnsi="Arial" w:cs="Arial"/>
        </w:rPr>
        <w:t>Bygrave</w:t>
      </w:r>
      <w:proofErr w:type="spellEnd"/>
      <w:r w:rsidR="00092AFC">
        <w:rPr>
          <w:rFonts w:ascii="Arial" w:hAnsi="Arial" w:cs="Arial"/>
        </w:rPr>
        <w:t>, N. O</w:t>
      </w:r>
      <w:r w:rsidR="009E51F4">
        <w:rPr>
          <w:rFonts w:ascii="Arial" w:hAnsi="Arial" w:cs="Arial"/>
        </w:rPr>
        <w:t>’Mara</w:t>
      </w:r>
      <w:r w:rsidR="00092AFC">
        <w:rPr>
          <w:rFonts w:ascii="Arial" w:hAnsi="Arial" w:cs="Arial"/>
        </w:rPr>
        <w:t>, K. Taylor</w:t>
      </w:r>
      <w:r w:rsidR="009E51F4">
        <w:rPr>
          <w:rFonts w:ascii="Arial" w:hAnsi="Arial" w:cs="Arial"/>
        </w:rPr>
        <w:t>.</w:t>
      </w:r>
    </w:p>
    <w:p w:rsidR="00927C17" w:rsidRDefault="00927C17" w:rsidP="00927C17">
      <w:pPr>
        <w:rPr>
          <w:rFonts w:ascii="Arial" w:hAnsi="Arial" w:cs="Arial"/>
        </w:rPr>
      </w:pPr>
    </w:p>
    <w:tbl>
      <w:tblPr>
        <w:tblStyle w:val="TableGrid"/>
        <w:tblW w:w="0" w:type="auto"/>
        <w:tblInd w:w="-252" w:type="dxa"/>
        <w:tblLook w:val="01E0" w:firstRow="1" w:lastRow="1" w:firstColumn="1" w:lastColumn="1" w:noHBand="0" w:noVBand="0"/>
      </w:tblPr>
      <w:tblGrid>
        <w:gridCol w:w="856"/>
        <w:gridCol w:w="6803"/>
        <w:gridCol w:w="1115"/>
      </w:tblGrid>
      <w:tr w:rsidR="00927C17" w:rsidTr="00771C24">
        <w:tc>
          <w:tcPr>
            <w:tcW w:w="856" w:type="dxa"/>
          </w:tcPr>
          <w:p w:rsidR="00927C17" w:rsidRDefault="00927C17" w:rsidP="00771C24">
            <w:pPr>
              <w:rPr>
                <w:rFonts w:ascii="Arial" w:hAnsi="Arial" w:cs="Arial"/>
              </w:rPr>
            </w:pPr>
          </w:p>
        </w:tc>
        <w:tc>
          <w:tcPr>
            <w:tcW w:w="6803" w:type="dxa"/>
          </w:tcPr>
          <w:p w:rsidR="00927C17" w:rsidRDefault="00927C17" w:rsidP="00771C24">
            <w:pPr>
              <w:rPr>
                <w:rFonts w:ascii="Arial" w:hAnsi="Arial" w:cs="Arial"/>
              </w:rPr>
            </w:pPr>
            <w:r>
              <w:rPr>
                <w:rFonts w:ascii="Arial" w:hAnsi="Arial" w:cs="Arial"/>
              </w:rPr>
              <w:t>Notes</w:t>
            </w:r>
          </w:p>
        </w:tc>
        <w:tc>
          <w:tcPr>
            <w:tcW w:w="1115" w:type="dxa"/>
          </w:tcPr>
          <w:p w:rsidR="00927C17" w:rsidRDefault="00927C17" w:rsidP="00771C24">
            <w:pPr>
              <w:rPr>
                <w:rFonts w:ascii="Arial" w:hAnsi="Arial" w:cs="Arial"/>
              </w:rPr>
            </w:pPr>
            <w:r>
              <w:rPr>
                <w:rFonts w:ascii="Arial" w:hAnsi="Arial" w:cs="Arial"/>
              </w:rPr>
              <w:t>Action</w:t>
            </w:r>
          </w:p>
        </w:tc>
      </w:tr>
      <w:tr w:rsidR="00927C17" w:rsidTr="00771C24">
        <w:trPr>
          <w:trHeight w:val="1049"/>
        </w:trPr>
        <w:tc>
          <w:tcPr>
            <w:tcW w:w="856" w:type="dxa"/>
          </w:tcPr>
          <w:p w:rsidR="00927C17" w:rsidRDefault="00927C17" w:rsidP="00771C24">
            <w:pPr>
              <w:rPr>
                <w:rFonts w:ascii="Arial" w:hAnsi="Arial" w:cs="Arial"/>
              </w:rPr>
            </w:pPr>
            <w:r>
              <w:rPr>
                <w:rFonts w:ascii="Arial" w:hAnsi="Arial" w:cs="Arial"/>
              </w:rPr>
              <w:t>1.</w:t>
            </w:r>
          </w:p>
        </w:tc>
        <w:tc>
          <w:tcPr>
            <w:tcW w:w="6803" w:type="dxa"/>
          </w:tcPr>
          <w:p w:rsidR="00927C17" w:rsidRDefault="00927C17" w:rsidP="00771C24">
            <w:pPr>
              <w:rPr>
                <w:rFonts w:ascii="Arial" w:hAnsi="Arial" w:cs="Arial"/>
                <w:b/>
              </w:rPr>
            </w:pPr>
            <w:r>
              <w:rPr>
                <w:rFonts w:ascii="Arial" w:hAnsi="Arial" w:cs="Arial"/>
                <w:b/>
              </w:rPr>
              <w:t xml:space="preserve">Welcome and Introductions </w:t>
            </w:r>
          </w:p>
          <w:p w:rsidR="00927C17" w:rsidRDefault="005907DE" w:rsidP="00771C24">
            <w:pPr>
              <w:rPr>
                <w:rFonts w:ascii="Arial" w:hAnsi="Arial" w:cs="Arial"/>
              </w:rPr>
            </w:pPr>
            <w:r>
              <w:rPr>
                <w:rFonts w:ascii="Arial" w:hAnsi="Arial" w:cs="Arial"/>
              </w:rPr>
              <w:t>Ian Beattie</w:t>
            </w:r>
            <w:r w:rsidR="00927C17">
              <w:rPr>
                <w:rFonts w:ascii="Arial" w:hAnsi="Arial" w:cs="Arial"/>
              </w:rPr>
              <w:t xml:space="preserve"> opened the meeting welcoming both Tamworth and Lichfield members, council representatives and the speakers for the meeting.   </w:t>
            </w:r>
          </w:p>
          <w:p w:rsidR="00E035D4" w:rsidRPr="00C162C9" w:rsidRDefault="00E035D4" w:rsidP="00771C24">
            <w:pPr>
              <w:rPr>
                <w:rFonts w:ascii="Arial" w:hAnsi="Arial" w:cs="Arial"/>
              </w:rPr>
            </w:pPr>
          </w:p>
        </w:tc>
        <w:tc>
          <w:tcPr>
            <w:tcW w:w="1115" w:type="dxa"/>
          </w:tcPr>
          <w:p w:rsidR="00927C17" w:rsidRDefault="00927C17" w:rsidP="00771C24">
            <w:pPr>
              <w:rPr>
                <w:rFonts w:ascii="Arial" w:hAnsi="Arial" w:cs="Arial"/>
              </w:rPr>
            </w:pPr>
          </w:p>
          <w:p w:rsidR="00927C17" w:rsidRDefault="00927C17" w:rsidP="00771C24">
            <w:pPr>
              <w:rPr>
                <w:rFonts w:ascii="Arial" w:hAnsi="Arial" w:cs="Arial"/>
              </w:rPr>
            </w:pPr>
          </w:p>
          <w:p w:rsidR="00927C17" w:rsidRDefault="00927C17" w:rsidP="00771C24">
            <w:pPr>
              <w:rPr>
                <w:rFonts w:ascii="Arial" w:hAnsi="Arial" w:cs="Arial"/>
              </w:rPr>
            </w:pPr>
          </w:p>
        </w:tc>
      </w:tr>
      <w:tr w:rsidR="00927C17" w:rsidTr="00771C24">
        <w:trPr>
          <w:trHeight w:val="840"/>
        </w:trPr>
        <w:tc>
          <w:tcPr>
            <w:tcW w:w="856" w:type="dxa"/>
          </w:tcPr>
          <w:p w:rsidR="00927C17" w:rsidRDefault="00927C17" w:rsidP="00771C24">
            <w:pPr>
              <w:rPr>
                <w:rFonts w:ascii="Arial" w:hAnsi="Arial" w:cs="Arial"/>
              </w:rPr>
            </w:pPr>
            <w:r>
              <w:rPr>
                <w:rFonts w:ascii="Arial" w:hAnsi="Arial" w:cs="Arial"/>
              </w:rPr>
              <w:t>2.</w:t>
            </w:r>
          </w:p>
        </w:tc>
        <w:tc>
          <w:tcPr>
            <w:tcW w:w="6803" w:type="dxa"/>
          </w:tcPr>
          <w:p w:rsidR="00484F26" w:rsidRDefault="00484F26" w:rsidP="00771C24">
            <w:pPr>
              <w:rPr>
                <w:rFonts w:ascii="Arial" w:hAnsi="Arial" w:cs="Arial"/>
                <w:b/>
              </w:rPr>
            </w:pPr>
          </w:p>
          <w:p w:rsidR="00927C17" w:rsidRDefault="005E7CAA" w:rsidP="00771C24">
            <w:pPr>
              <w:rPr>
                <w:rFonts w:ascii="Arial" w:hAnsi="Arial" w:cs="Arial"/>
              </w:rPr>
            </w:pPr>
            <w:r>
              <w:rPr>
                <w:rFonts w:ascii="Arial" w:hAnsi="Arial" w:cs="Arial"/>
                <w:b/>
              </w:rPr>
              <w:t xml:space="preserve">Lauren Cuffe </w:t>
            </w:r>
            <w:r w:rsidRPr="005E7CAA">
              <w:rPr>
                <w:rFonts w:ascii="Arial" w:hAnsi="Arial" w:cs="Arial"/>
              </w:rPr>
              <w:t>Tamworth Borough Council</w:t>
            </w:r>
            <w:r w:rsidR="00927C17">
              <w:rPr>
                <w:rFonts w:ascii="Arial" w:hAnsi="Arial" w:cs="Arial"/>
              </w:rPr>
              <w:t xml:space="preserve"> </w:t>
            </w:r>
            <w:r>
              <w:rPr>
                <w:rFonts w:ascii="Arial" w:hAnsi="Arial" w:cs="Arial"/>
              </w:rPr>
              <w:t xml:space="preserve">presented on TBC’s Private Sector Leasing Scheme, discussed what the PSL scheme was, what </w:t>
            </w:r>
            <w:r w:rsidRPr="005E7CAA">
              <w:rPr>
                <w:rFonts w:ascii="Arial" w:hAnsi="Arial" w:cs="Arial"/>
              </w:rPr>
              <w:t>Tamworth Borough Council</w:t>
            </w:r>
            <w:r>
              <w:rPr>
                <w:rFonts w:ascii="Arial" w:hAnsi="Arial" w:cs="Arial"/>
              </w:rPr>
              <w:t xml:space="preserve"> could offer to landlords</w:t>
            </w:r>
            <w:r w:rsidR="00E035D4">
              <w:rPr>
                <w:rFonts w:ascii="Arial" w:hAnsi="Arial" w:cs="Arial"/>
              </w:rPr>
              <w:t>.</w:t>
            </w:r>
            <w:r>
              <w:rPr>
                <w:rFonts w:ascii="Arial" w:hAnsi="Arial" w:cs="Arial"/>
              </w:rPr>
              <w:t xml:space="preserve"> </w:t>
            </w:r>
            <w:r w:rsidR="00927C17">
              <w:rPr>
                <w:rFonts w:ascii="Arial" w:hAnsi="Arial" w:cs="Arial"/>
              </w:rPr>
              <w:t xml:space="preserve">   </w:t>
            </w:r>
          </w:p>
          <w:p w:rsidR="00E035D4" w:rsidRPr="005E7CAA" w:rsidRDefault="00E035D4" w:rsidP="00771C24">
            <w:pPr>
              <w:rPr>
                <w:rFonts w:ascii="Arial" w:hAnsi="Arial" w:cs="Arial"/>
                <w:b/>
              </w:rPr>
            </w:pPr>
          </w:p>
        </w:tc>
        <w:tc>
          <w:tcPr>
            <w:tcW w:w="1115" w:type="dxa"/>
          </w:tcPr>
          <w:p w:rsidR="00927C17" w:rsidRDefault="00927C17" w:rsidP="00771C24">
            <w:pPr>
              <w:rPr>
                <w:rFonts w:ascii="Arial" w:hAnsi="Arial" w:cs="Arial"/>
              </w:rPr>
            </w:pPr>
          </w:p>
          <w:p w:rsidR="00927C17" w:rsidRDefault="00927C17" w:rsidP="00771C24">
            <w:pPr>
              <w:rPr>
                <w:rFonts w:ascii="Arial" w:hAnsi="Arial" w:cs="Arial"/>
              </w:rPr>
            </w:pPr>
            <w:r>
              <w:rPr>
                <w:rFonts w:ascii="Arial" w:hAnsi="Arial" w:cs="Arial"/>
              </w:rPr>
              <w:t xml:space="preserve"> </w:t>
            </w:r>
          </w:p>
          <w:p w:rsidR="00927C17" w:rsidRDefault="00927C17" w:rsidP="00771C24">
            <w:pPr>
              <w:rPr>
                <w:rFonts w:ascii="Arial" w:hAnsi="Arial" w:cs="Arial"/>
              </w:rPr>
            </w:pPr>
          </w:p>
        </w:tc>
      </w:tr>
      <w:tr w:rsidR="00927C17" w:rsidTr="00771C24">
        <w:trPr>
          <w:trHeight w:val="270"/>
        </w:trPr>
        <w:tc>
          <w:tcPr>
            <w:tcW w:w="856" w:type="dxa"/>
          </w:tcPr>
          <w:p w:rsidR="00927C17" w:rsidRDefault="00927C17" w:rsidP="00771C24">
            <w:pPr>
              <w:rPr>
                <w:rFonts w:ascii="Arial" w:hAnsi="Arial" w:cs="Arial"/>
              </w:rPr>
            </w:pPr>
            <w:r>
              <w:rPr>
                <w:rFonts w:ascii="Arial" w:hAnsi="Arial" w:cs="Arial"/>
              </w:rPr>
              <w:t>3.</w:t>
            </w:r>
          </w:p>
        </w:tc>
        <w:tc>
          <w:tcPr>
            <w:tcW w:w="6803" w:type="dxa"/>
          </w:tcPr>
          <w:p w:rsidR="00484F26" w:rsidRDefault="00484F26" w:rsidP="00DE17D7">
            <w:pPr>
              <w:rPr>
                <w:rFonts w:ascii="Arial Bold" w:hAnsi="Arial Bold" w:cs="Arial"/>
              </w:rPr>
            </w:pPr>
          </w:p>
          <w:p w:rsidR="00927C17" w:rsidRDefault="00DE17D7" w:rsidP="00DE17D7">
            <w:pPr>
              <w:rPr>
                <w:rFonts w:ascii="Arial" w:hAnsi="Arial" w:cs="Arial"/>
              </w:rPr>
            </w:pPr>
            <w:r>
              <w:rPr>
                <w:rFonts w:ascii="Arial Bold" w:hAnsi="Arial Bold" w:cs="Arial"/>
              </w:rPr>
              <w:t xml:space="preserve">Nick </w:t>
            </w:r>
            <w:proofErr w:type="spellStart"/>
            <w:r>
              <w:rPr>
                <w:rFonts w:ascii="Arial Bold" w:hAnsi="Arial Bold" w:cs="Arial"/>
              </w:rPr>
              <w:t>Watchorn</w:t>
            </w:r>
            <w:proofErr w:type="spellEnd"/>
            <w:r>
              <w:rPr>
                <w:rFonts w:ascii="Arial Bold" w:hAnsi="Arial Bold" w:cs="Arial"/>
              </w:rPr>
              <w:t xml:space="preserve"> </w:t>
            </w:r>
            <w:r>
              <w:rPr>
                <w:rFonts w:ascii="Arial" w:hAnsi="Arial" w:cs="Arial"/>
              </w:rPr>
              <w:t xml:space="preserve">from National Landlord Property Group presented to the forum about what the company did and the benefits of signing up to them as a landlord . </w:t>
            </w:r>
            <w:r w:rsidR="00927C17">
              <w:rPr>
                <w:rFonts w:ascii="Arial" w:hAnsi="Arial" w:cs="Arial"/>
              </w:rPr>
              <w:t xml:space="preserve"> </w:t>
            </w:r>
          </w:p>
          <w:p w:rsidR="00E035D4" w:rsidRPr="00534B7D" w:rsidRDefault="00E035D4" w:rsidP="00DE17D7">
            <w:pPr>
              <w:rPr>
                <w:rFonts w:ascii="Arial" w:hAnsi="Arial" w:cs="Arial"/>
              </w:rPr>
            </w:pPr>
          </w:p>
        </w:tc>
        <w:tc>
          <w:tcPr>
            <w:tcW w:w="1115" w:type="dxa"/>
          </w:tcPr>
          <w:p w:rsidR="00927C17" w:rsidRPr="00103590" w:rsidRDefault="00927C17" w:rsidP="00771C24">
            <w:pPr>
              <w:rPr>
                <w:rFonts w:ascii="Arial" w:hAnsi="Arial" w:cs="Arial"/>
                <w:b/>
              </w:rPr>
            </w:pPr>
          </w:p>
        </w:tc>
      </w:tr>
      <w:tr w:rsidR="00927C17" w:rsidTr="00771C24">
        <w:trPr>
          <w:trHeight w:val="2025"/>
        </w:trPr>
        <w:tc>
          <w:tcPr>
            <w:tcW w:w="856" w:type="dxa"/>
          </w:tcPr>
          <w:p w:rsidR="00927C17" w:rsidRPr="007F7F10" w:rsidRDefault="00927C17" w:rsidP="00771C24">
            <w:pPr>
              <w:rPr>
                <w:rFonts w:ascii="Arial" w:hAnsi="Arial" w:cs="Arial"/>
              </w:rPr>
            </w:pPr>
            <w:r>
              <w:rPr>
                <w:rFonts w:ascii="Arial" w:hAnsi="Arial" w:cs="Arial"/>
              </w:rPr>
              <w:t xml:space="preserve">4. </w:t>
            </w:r>
          </w:p>
        </w:tc>
        <w:tc>
          <w:tcPr>
            <w:tcW w:w="6803" w:type="dxa"/>
          </w:tcPr>
          <w:p w:rsidR="00484F26" w:rsidRDefault="00484F26" w:rsidP="00771C24">
            <w:pPr>
              <w:rPr>
                <w:rFonts w:ascii="Arial" w:hAnsi="Arial" w:cs="Arial"/>
                <w:b/>
                <w:bCs/>
              </w:rPr>
            </w:pPr>
          </w:p>
          <w:p w:rsidR="00927C17" w:rsidRDefault="00DE17D7" w:rsidP="00771C24">
            <w:pPr>
              <w:rPr>
                <w:rFonts w:ascii="Arial" w:hAnsi="Arial" w:cs="Arial"/>
                <w:color w:val="313131"/>
              </w:rPr>
            </w:pPr>
            <w:r>
              <w:rPr>
                <w:rFonts w:ascii="Arial" w:hAnsi="Arial" w:cs="Arial"/>
                <w:b/>
                <w:bCs/>
              </w:rPr>
              <w:t xml:space="preserve">Ian Beattie </w:t>
            </w:r>
            <w:r>
              <w:rPr>
                <w:rFonts w:ascii="Arial" w:hAnsi="Arial" w:cs="Arial"/>
                <w:bCs/>
              </w:rPr>
              <w:t xml:space="preserve">then gave an overview and insight into </w:t>
            </w:r>
            <w:r w:rsidR="00530D67">
              <w:rPr>
                <w:rFonts w:ascii="Arial" w:hAnsi="Arial" w:cs="Arial"/>
                <w:bCs/>
              </w:rPr>
              <w:t>clause 24 of The F</w:t>
            </w:r>
            <w:r w:rsidR="003B36E6">
              <w:rPr>
                <w:rFonts w:ascii="Arial" w:hAnsi="Arial" w:cs="Arial"/>
                <w:bCs/>
              </w:rPr>
              <w:t>inance Act</w:t>
            </w:r>
            <w:r w:rsidR="00530D67">
              <w:rPr>
                <w:rFonts w:ascii="Arial" w:hAnsi="Arial" w:cs="Arial"/>
                <w:bCs/>
              </w:rPr>
              <w:t xml:space="preserve"> 2015</w:t>
            </w:r>
            <w:r w:rsidR="003B36E6">
              <w:rPr>
                <w:rFonts w:ascii="Arial" w:hAnsi="Arial" w:cs="Arial"/>
                <w:bCs/>
              </w:rPr>
              <w:t>,</w:t>
            </w:r>
            <w:r w:rsidR="00530D67">
              <w:rPr>
                <w:rFonts w:ascii="Arial" w:hAnsi="Arial" w:cs="Arial"/>
                <w:bCs/>
              </w:rPr>
              <w:t xml:space="preserve"> </w:t>
            </w:r>
            <w:r w:rsidR="00530D67" w:rsidRPr="00530D67">
              <w:rPr>
                <w:rStyle w:val="Strong"/>
                <w:rFonts w:ascii="Arial" w:hAnsi="Arial" w:cs="Arial"/>
                <w:b w:val="0"/>
                <w:color w:val="313131"/>
              </w:rPr>
              <w:t xml:space="preserve">which overturns a fundamental financial </w:t>
            </w:r>
            <w:r w:rsidR="00E035D4">
              <w:rPr>
                <w:rStyle w:val="Strong"/>
                <w:rFonts w:ascii="Arial" w:hAnsi="Arial" w:cs="Arial"/>
                <w:b w:val="0"/>
                <w:color w:val="313131"/>
              </w:rPr>
              <w:t>business principle, where income less costs equals profit</w:t>
            </w:r>
            <w:r w:rsidR="00530D67" w:rsidRPr="00DA3422">
              <w:rPr>
                <w:rStyle w:val="Strong"/>
                <w:rFonts w:ascii="Arial" w:hAnsi="Arial" w:cs="Arial"/>
                <w:b w:val="0"/>
                <w:color w:val="313131"/>
              </w:rPr>
              <w:t xml:space="preserve">. </w:t>
            </w:r>
            <w:r w:rsidR="00DA3422">
              <w:rPr>
                <w:rStyle w:val="Strong"/>
                <w:rFonts w:ascii="Arial" w:hAnsi="Arial" w:cs="Arial"/>
                <w:b w:val="0"/>
                <w:color w:val="313131"/>
              </w:rPr>
              <w:t>T</w:t>
            </w:r>
            <w:r w:rsidR="00530D67" w:rsidRPr="00DA3422">
              <w:rPr>
                <w:rStyle w:val="Strong"/>
                <w:rFonts w:ascii="Arial" w:hAnsi="Arial" w:cs="Arial"/>
                <w:b w:val="0"/>
                <w:color w:val="313131"/>
              </w:rPr>
              <w:t>he Government believe that it makes complete sense to tax property owners on that part of the rent that has been paid to the lender as mortgage interest, as if that money was still in the property owners’ bank account</w:t>
            </w:r>
            <w:r w:rsidR="00DA3422" w:rsidRPr="00DA3422">
              <w:rPr>
                <w:rStyle w:val="Strong"/>
                <w:rFonts w:ascii="Arial" w:hAnsi="Arial" w:cs="Arial"/>
                <w:b w:val="0"/>
                <w:color w:val="313131"/>
              </w:rPr>
              <w:t>.</w:t>
            </w:r>
            <w:r w:rsidR="00DA3422" w:rsidRPr="00DA3422">
              <w:rPr>
                <w:rFonts w:ascii="Arial" w:hAnsi="Arial" w:cs="Arial"/>
                <w:color w:val="313131"/>
              </w:rPr>
              <w:t xml:space="preserve"> To justify their point of view, the Government have referred to the term “level the playing field”, between owner-occupiers and owners of property who choose to provide professional, legal and compliant accommodation and services to tenants</w:t>
            </w:r>
            <w:r w:rsidR="00DA3422">
              <w:rPr>
                <w:rFonts w:ascii="Arial" w:hAnsi="Arial" w:cs="Arial"/>
                <w:color w:val="313131"/>
              </w:rPr>
              <w:t xml:space="preserve">. </w:t>
            </w:r>
          </w:p>
          <w:p w:rsidR="00DA3422" w:rsidRDefault="00DA3422" w:rsidP="00771C24">
            <w:pPr>
              <w:rPr>
                <w:rFonts w:ascii="Arial" w:hAnsi="Arial" w:cs="Arial"/>
                <w:color w:val="313131"/>
              </w:rPr>
            </w:pPr>
          </w:p>
          <w:p w:rsidR="00DA3422" w:rsidRDefault="00DA3422" w:rsidP="00771C24">
            <w:pPr>
              <w:rPr>
                <w:rStyle w:val="Strong"/>
                <w:rFonts w:ascii="Arial" w:hAnsi="Arial" w:cs="Arial"/>
                <w:b w:val="0"/>
                <w:color w:val="313131"/>
              </w:rPr>
            </w:pPr>
            <w:r>
              <w:rPr>
                <w:rFonts w:ascii="Arial" w:hAnsi="Arial" w:cs="Arial"/>
                <w:color w:val="313131"/>
              </w:rPr>
              <w:t xml:space="preserve">However, this is not the reality that the government are trying to depict. </w:t>
            </w:r>
            <w:r w:rsidRPr="00DA3422">
              <w:rPr>
                <w:rStyle w:val="Strong"/>
                <w:rFonts w:ascii="Arial" w:hAnsi="Arial" w:cs="Arial"/>
                <w:b w:val="0"/>
                <w:color w:val="313131"/>
              </w:rPr>
              <w:t>Compelling evidence points to the consequences of this absurd new tax having a devastating impact on the UK housing market; increasing rents for tenants and the housing market potentially being flooded with properties for sale</w:t>
            </w:r>
            <w:r>
              <w:rPr>
                <w:rStyle w:val="Strong"/>
                <w:rFonts w:ascii="Arial" w:hAnsi="Arial" w:cs="Arial"/>
                <w:b w:val="0"/>
                <w:color w:val="313131"/>
              </w:rPr>
              <w:t>.</w:t>
            </w:r>
            <w:r w:rsidR="00E1221A">
              <w:rPr>
                <w:rStyle w:val="Strong"/>
                <w:rFonts w:ascii="Arial" w:hAnsi="Arial" w:cs="Arial"/>
                <w:b w:val="0"/>
                <w:color w:val="313131"/>
              </w:rPr>
              <w:t xml:space="preserve"> (Referenced to </w:t>
            </w:r>
            <w:r w:rsidR="00E1221A" w:rsidRPr="00E1221A">
              <w:rPr>
                <w:rStyle w:val="Strong"/>
                <w:rFonts w:ascii="Arial" w:hAnsi="Arial" w:cs="Arial"/>
                <w:b w:val="0"/>
                <w:color w:val="313131"/>
              </w:rPr>
              <w:t>https://www.crowdjustice.org/case/clause24/</w:t>
            </w:r>
            <w:r w:rsidR="00E1221A">
              <w:rPr>
                <w:rStyle w:val="Strong"/>
                <w:rFonts w:ascii="Arial" w:hAnsi="Arial" w:cs="Arial"/>
                <w:b w:val="0"/>
                <w:color w:val="313131"/>
              </w:rPr>
              <w:t>).</w:t>
            </w:r>
          </w:p>
          <w:p w:rsidR="00DA3422" w:rsidRDefault="00DA3422" w:rsidP="00771C24">
            <w:pPr>
              <w:rPr>
                <w:rStyle w:val="Strong"/>
                <w:rFonts w:ascii="Arial" w:hAnsi="Arial" w:cs="Arial"/>
                <w:b w:val="0"/>
                <w:color w:val="313131"/>
              </w:rPr>
            </w:pPr>
          </w:p>
          <w:p w:rsidR="00DA3422" w:rsidRDefault="00DA3422" w:rsidP="00771C24">
            <w:pPr>
              <w:rPr>
                <w:rStyle w:val="Strong"/>
                <w:rFonts w:ascii="Arial" w:hAnsi="Arial" w:cs="Arial"/>
                <w:b w:val="0"/>
                <w:color w:val="313131"/>
              </w:rPr>
            </w:pPr>
            <w:r>
              <w:rPr>
                <w:rStyle w:val="Strong"/>
                <w:rFonts w:ascii="Arial" w:hAnsi="Arial" w:cs="Arial"/>
                <w:b w:val="0"/>
                <w:color w:val="313131"/>
              </w:rPr>
              <w:t>Discussion was sparked that portfolio landlords may be put in “the danger zone”</w:t>
            </w:r>
            <w:r w:rsidR="00E1221A">
              <w:rPr>
                <w:rStyle w:val="Strong"/>
                <w:rFonts w:ascii="Arial" w:hAnsi="Arial" w:cs="Arial"/>
                <w:b w:val="0"/>
                <w:color w:val="313131"/>
              </w:rPr>
              <w:t xml:space="preserve"> with mortgages and being taxed higher tax </w:t>
            </w:r>
            <w:r w:rsidR="00E1221A">
              <w:rPr>
                <w:rStyle w:val="Strong"/>
                <w:rFonts w:ascii="Arial" w:hAnsi="Arial" w:cs="Arial"/>
                <w:b w:val="0"/>
                <w:color w:val="313131"/>
              </w:rPr>
              <w:lastRenderedPageBreak/>
              <w:t>rates which would cause landlords to sell up.</w:t>
            </w:r>
          </w:p>
          <w:p w:rsidR="00E1221A" w:rsidRDefault="00E1221A" w:rsidP="00771C24">
            <w:pPr>
              <w:rPr>
                <w:rStyle w:val="Strong"/>
                <w:rFonts w:ascii="Arial" w:hAnsi="Arial" w:cs="Arial"/>
                <w:b w:val="0"/>
                <w:color w:val="313131"/>
              </w:rPr>
            </w:pPr>
          </w:p>
          <w:p w:rsidR="00927C17" w:rsidRDefault="00E1221A" w:rsidP="00E1221A">
            <w:pPr>
              <w:rPr>
                <w:rFonts w:ascii="Arial" w:hAnsi="Arial" w:cs="Arial"/>
                <w:b/>
                <w:bCs/>
              </w:rPr>
            </w:pPr>
            <w:r>
              <w:rPr>
                <w:rStyle w:val="Strong"/>
                <w:rFonts w:ascii="Arial" w:hAnsi="Arial" w:cs="Arial"/>
                <w:b w:val="0"/>
                <w:color w:val="313131"/>
              </w:rPr>
              <w:t xml:space="preserve">Is this the push for home ownership that the current government have been trying to obtain?- discussion point raised that there are some reasons as to why people cannot get a mortgage and landlords act as the “buffer” to the community for individuals who cannot lend money.  </w:t>
            </w:r>
          </w:p>
          <w:p w:rsidR="00E1221A" w:rsidRDefault="00E1221A" w:rsidP="00E1221A">
            <w:pPr>
              <w:rPr>
                <w:rFonts w:ascii="Arial" w:hAnsi="Arial" w:cs="Arial"/>
                <w:b/>
                <w:bCs/>
              </w:rPr>
            </w:pPr>
          </w:p>
          <w:p w:rsidR="00E1221A" w:rsidRDefault="00E1221A" w:rsidP="00E1221A">
            <w:pPr>
              <w:rPr>
                <w:rFonts w:ascii="Arial" w:hAnsi="Arial" w:cs="Arial"/>
                <w:color w:val="333333"/>
                <w:lang w:val="en"/>
              </w:rPr>
            </w:pPr>
            <w:r w:rsidRPr="00E1221A">
              <w:rPr>
                <w:rFonts w:ascii="Arial" w:hAnsi="Arial" w:cs="Arial"/>
                <w:bCs/>
              </w:rPr>
              <w:t xml:space="preserve">This was followed on by one of the key issues which was identified in Shelters standard of housing was affordability </w:t>
            </w:r>
            <w:r>
              <w:rPr>
                <w:rFonts w:ascii="Arial" w:hAnsi="Arial" w:cs="Arial"/>
                <w:bCs/>
              </w:rPr>
              <w:t>&amp;</w:t>
            </w:r>
            <w:r>
              <w:rPr>
                <w:rFonts w:ascii="Arial" w:hAnsi="Arial" w:cs="Arial"/>
                <w:color w:val="333333"/>
                <w:lang w:val="en"/>
              </w:rPr>
              <w:t xml:space="preserve"> t</w:t>
            </w:r>
            <w:r w:rsidRPr="00E1221A">
              <w:rPr>
                <w:rFonts w:ascii="Arial" w:hAnsi="Arial" w:cs="Arial"/>
                <w:color w:val="333333"/>
                <w:lang w:val="en"/>
              </w:rPr>
              <w:t>he most effective way of ensuring housing is affordable is to increase supply</w:t>
            </w:r>
            <w:r>
              <w:rPr>
                <w:rFonts w:ascii="Arial" w:hAnsi="Arial" w:cs="Arial"/>
                <w:color w:val="333333"/>
                <w:lang w:val="en"/>
              </w:rPr>
              <w:t>- which is the polar opposite of the prediction</w:t>
            </w:r>
            <w:r w:rsidR="00103590">
              <w:rPr>
                <w:rFonts w:ascii="Arial" w:hAnsi="Arial" w:cs="Arial"/>
                <w:color w:val="333333"/>
                <w:lang w:val="en"/>
              </w:rPr>
              <w:t xml:space="preserve"> that will happen to the private rented sector</w:t>
            </w:r>
            <w:r>
              <w:rPr>
                <w:rFonts w:ascii="Arial" w:hAnsi="Arial" w:cs="Arial"/>
                <w:color w:val="333333"/>
                <w:lang w:val="en"/>
              </w:rPr>
              <w:t xml:space="preserve"> </w:t>
            </w:r>
            <w:r w:rsidR="00103590">
              <w:rPr>
                <w:rFonts w:ascii="Arial" w:hAnsi="Arial" w:cs="Arial"/>
                <w:color w:val="333333"/>
                <w:lang w:val="en"/>
              </w:rPr>
              <w:t xml:space="preserve">with the speculated tax increase. </w:t>
            </w:r>
          </w:p>
          <w:p w:rsidR="00E16FEC" w:rsidRPr="00E16FEC" w:rsidRDefault="00E16FEC" w:rsidP="00E1221A">
            <w:pPr>
              <w:rPr>
                <w:rFonts w:ascii="Arial" w:hAnsi="Arial" w:cs="Arial"/>
                <w:color w:val="333333"/>
                <w:lang w:val="en"/>
              </w:rPr>
            </w:pPr>
          </w:p>
          <w:p w:rsidR="00E16FEC" w:rsidRPr="00E16FEC" w:rsidRDefault="00E16FEC" w:rsidP="00E16FEC">
            <w:pPr>
              <w:rPr>
                <w:rFonts w:ascii="Arial" w:hAnsi="Arial" w:cs="Arial"/>
              </w:rPr>
            </w:pPr>
            <w:r w:rsidRPr="00E16FEC">
              <w:rPr>
                <w:rFonts w:ascii="Arial" w:hAnsi="Arial" w:cs="Arial"/>
              </w:rPr>
              <w:t xml:space="preserve">A </w:t>
            </w:r>
            <w:r w:rsidRPr="00E16FEC">
              <w:rPr>
                <w:rFonts w:ascii="Arial" w:hAnsi="Arial" w:cs="Arial"/>
              </w:rPr>
              <w:t>link for the tax change spread sheet it is</w:t>
            </w:r>
          </w:p>
          <w:p w:rsidR="00E16FEC" w:rsidRPr="00E16FEC" w:rsidRDefault="00E16FEC" w:rsidP="00E16FEC">
            <w:pPr>
              <w:rPr>
                <w:rFonts w:ascii="Arial" w:hAnsi="Arial" w:cs="Arial"/>
              </w:rPr>
            </w:pPr>
            <w:hyperlink r:id="rId6" w:history="1">
              <w:r w:rsidRPr="0035203B">
                <w:rPr>
                  <w:rStyle w:val="Hyperlink"/>
                  <w:rFonts w:ascii="Arial" w:hAnsi="Arial" w:cs="Arial"/>
                </w:rPr>
                <w:t>www.themortgageworks.co.uk</w:t>
              </w:r>
            </w:hyperlink>
          </w:p>
          <w:p w:rsidR="00E16FEC" w:rsidRPr="00E16FEC" w:rsidRDefault="00E16FEC" w:rsidP="00E16FEC">
            <w:pPr>
              <w:rPr>
                <w:rFonts w:ascii="Arial" w:hAnsi="Arial" w:cs="Arial"/>
              </w:rPr>
            </w:pPr>
            <w:r w:rsidRPr="00E16FEC">
              <w:rPr>
                <w:rFonts w:ascii="Arial" w:hAnsi="Arial" w:cs="Arial"/>
              </w:rPr>
              <w:t>Select "Calculators "</w:t>
            </w:r>
          </w:p>
          <w:p w:rsidR="00E16FEC" w:rsidRPr="00E16FEC" w:rsidRDefault="00E16FEC" w:rsidP="00E16FEC">
            <w:pPr>
              <w:rPr>
                <w:rFonts w:ascii="Arial" w:hAnsi="Arial" w:cs="Arial"/>
              </w:rPr>
            </w:pPr>
            <w:r w:rsidRPr="00E16FEC">
              <w:rPr>
                <w:rFonts w:ascii="Arial" w:hAnsi="Arial" w:cs="Arial"/>
              </w:rPr>
              <w:t>Then from task bar</w:t>
            </w:r>
          </w:p>
          <w:p w:rsidR="00E16FEC" w:rsidRPr="00E16FEC" w:rsidRDefault="00E16FEC" w:rsidP="00E16FEC">
            <w:pPr>
              <w:rPr>
                <w:rFonts w:ascii="Arial" w:hAnsi="Arial" w:cs="Arial"/>
              </w:rPr>
            </w:pPr>
            <w:r w:rsidRPr="00E16FEC">
              <w:rPr>
                <w:rFonts w:ascii="Arial" w:hAnsi="Arial" w:cs="Arial"/>
              </w:rPr>
              <w:t>Tax change calculator</w:t>
            </w:r>
          </w:p>
          <w:p w:rsidR="00E16FEC" w:rsidRDefault="00E16FEC" w:rsidP="00E1221A">
            <w:pPr>
              <w:rPr>
                <w:rFonts w:ascii="Arial" w:hAnsi="Arial" w:cs="Arial"/>
                <w:color w:val="333333"/>
                <w:lang w:val="en"/>
              </w:rPr>
            </w:pPr>
          </w:p>
          <w:p w:rsidR="00E035D4" w:rsidRPr="00E1221A" w:rsidRDefault="00E035D4" w:rsidP="00E1221A">
            <w:pPr>
              <w:rPr>
                <w:rFonts w:ascii="Arial" w:hAnsi="Arial" w:cs="Arial"/>
                <w:bCs/>
              </w:rPr>
            </w:pPr>
          </w:p>
        </w:tc>
        <w:tc>
          <w:tcPr>
            <w:tcW w:w="1115" w:type="dxa"/>
          </w:tcPr>
          <w:p w:rsidR="00927C17" w:rsidRDefault="00927C17" w:rsidP="00771C24">
            <w:pPr>
              <w:rPr>
                <w:rFonts w:ascii="Arial" w:hAnsi="Arial" w:cs="Arial"/>
              </w:rPr>
            </w:pPr>
          </w:p>
          <w:p w:rsidR="00927C17" w:rsidRDefault="00927C17" w:rsidP="00771C24">
            <w:pPr>
              <w:rPr>
                <w:rFonts w:ascii="Arial" w:hAnsi="Arial" w:cs="Arial"/>
              </w:rPr>
            </w:pPr>
          </w:p>
          <w:p w:rsidR="00927C17" w:rsidRDefault="00927C17" w:rsidP="00771C24">
            <w:pPr>
              <w:rPr>
                <w:rFonts w:ascii="Arial" w:hAnsi="Arial" w:cs="Arial"/>
              </w:rPr>
            </w:pPr>
            <w:r>
              <w:rPr>
                <w:rFonts w:ascii="Arial" w:hAnsi="Arial" w:cs="Arial"/>
              </w:rPr>
              <w:t xml:space="preserve"> </w:t>
            </w:r>
          </w:p>
        </w:tc>
      </w:tr>
      <w:tr w:rsidR="00103590" w:rsidTr="00AA0392">
        <w:trPr>
          <w:trHeight w:val="3534"/>
        </w:trPr>
        <w:tc>
          <w:tcPr>
            <w:tcW w:w="856" w:type="dxa"/>
          </w:tcPr>
          <w:p w:rsidR="00103590" w:rsidRDefault="00103590" w:rsidP="00771C24">
            <w:pPr>
              <w:rPr>
                <w:rFonts w:ascii="Arial" w:hAnsi="Arial" w:cs="Arial"/>
              </w:rPr>
            </w:pPr>
            <w:r>
              <w:rPr>
                <w:rFonts w:ascii="Arial" w:hAnsi="Arial" w:cs="Arial"/>
              </w:rPr>
              <w:lastRenderedPageBreak/>
              <w:t xml:space="preserve">5. </w:t>
            </w:r>
          </w:p>
          <w:p w:rsidR="00103590" w:rsidRDefault="00103590" w:rsidP="00771C24">
            <w:pPr>
              <w:rPr>
                <w:rFonts w:ascii="Arial" w:hAnsi="Arial" w:cs="Arial"/>
              </w:rPr>
            </w:pPr>
          </w:p>
        </w:tc>
        <w:tc>
          <w:tcPr>
            <w:tcW w:w="6803" w:type="dxa"/>
          </w:tcPr>
          <w:p w:rsidR="00484F26" w:rsidRDefault="00484F26" w:rsidP="00771C24">
            <w:pPr>
              <w:rPr>
                <w:rFonts w:ascii="Arial Bold" w:hAnsi="Arial Bold" w:cs="Arial"/>
                <w:b/>
              </w:rPr>
            </w:pPr>
          </w:p>
          <w:p w:rsidR="00E035D4" w:rsidRDefault="00103590" w:rsidP="00771C24">
            <w:pPr>
              <w:rPr>
                <w:rFonts w:ascii="Arial" w:hAnsi="Arial" w:cs="Arial"/>
              </w:rPr>
            </w:pPr>
            <w:r>
              <w:rPr>
                <w:rFonts w:ascii="Arial Bold" w:hAnsi="Arial Bold" w:cs="Arial"/>
                <w:b/>
              </w:rPr>
              <w:t xml:space="preserve">Sue Phipps </w:t>
            </w:r>
            <w:r>
              <w:rPr>
                <w:rFonts w:ascii="Arial" w:hAnsi="Arial" w:cs="Arial"/>
              </w:rPr>
              <w:t xml:space="preserve">led the Open Forum Session </w:t>
            </w:r>
            <w:r w:rsidR="00696D8C">
              <w:rPr>
                <w:rFonts w:ascii="Arial" w:hAnsi="Arial" w:cs="Arial"/>
              </w:rPr>
              <w:t xml:space="preserve">stepping in for Mandy </w:t>
            </w:r>
            <w:proofErr w:type="spellStart"/>
            <w:r w:rsidR="00696D8C">
              <w:rPr>
                <w:rFonts w:ascii="Arial" w:hAnsi="Arial" w:cs="Arial"/>
              </w:rPr>
              <w:t>Bygrave</w:t>
            </w:r>
            <w:proofErr w:type="spellEnd"/>
            <w:r w:rsidR="00696D8C">
              <w:rPr>
                <w:rFonts w:ascii="Arial" w:hAnsi="Arial" w:cs="Arial"/>
              </w:rPr>
              <w:t xml:space="preserve"> who was originally leading the session surrounding the Housing and Planning Act.</w:t>
            </w:r>
          </w:p>
          <w:p w:rsidR="00696D8C" w:rsidRDefault="00696D8C" w:rsidP="00771C24">
            <w:pPr>
              <w:rPr>
                <w:rFonts w:ascii="Arial" w:hAnsi="Arial" w:cs="Arial"/>
              </w:rPr>
            </w:pPr>
          </w:p>
          <w:p w:rsidR="00696D8C" w:rsidRDefault="00AA0392" w:rsidP="00771C24">
            <w:pPr>
              <w:rPr>
                <w:rFonts w:ascii="Arial" w:hAnsi="Arial" w:cs="Arial"/>
              </w:rPr>
            </w:pPr>
            <w:r>
              <w:rPr>
                <w:rFonts w:ascii="Arial" w:hAnsi="Arial" w:cs="Arial"/>
              </w:rPr>
              <w:t>Main topics covered:</w:t>
            </w:r>
          </w:p>
          <w:p w:rsidR="00AA0392" w:rsidRDefault="00AA0392" w:rsidP="00771C24">
            <w:pPr>
              <w:rPr>
                <w:rFonts w:ascii="Arial" w:hAnsi="Arial" w:cs="Arial"/>
              </w:rPr>
            </w:pPr>
          </w:p>
          <w:p w:rsidR="00AA0392" w:rsidRDefault="00AA0392" w:rsidP="00AA0392">
            <w:pPr>
              <w:pStyle w:val="ListParagraph"/>
              <w:numPr>
                <w:ilvl w:val="0"/>
                <w:numId w:val="3"/>
              </w:numPr>
              <w:rPr>
                <w:rFonts w:ascii="Arial" w:hAnsi="Arial" w:cs="Arial"/>
              </w:rPr>
            </w:pPr>
            <w:r w:rsidRPr="00AA0392">
              <w:rPr>
                <w:rFonts w:ascii="Arial" w:hAnsi="Arial" w:cs="Arial"/>
              </w:rPr>
              <w:t>Introduction of fines directly to landlord- the devil will be in the detail when this is introduced in April 2017</w:t>
            </w:r>
          </w:p>
          <w:p w:rsidR="00AA0392" w:rsidRPr="00AA0392" w:rsidRDefault="00AA0392" w:rsidP="00AA0392">
            <w:pPr>
              <w:rPr>
                <w:rFonts w:ascii="Arial" w:hAnsi="Arial" w:cs="Arial"/>
              </w:rPr>
            </w:pPr>
          </w:p>
          <w:p w:rsidR="00AA0392" w:rsidRPr="00AA0392" w:rsidRDefault="00AA0392" w:rsidP="00AA0392">
            <w:pPr>
              <w:pStyle w:val="ListParagraph"/>
              <w:numPr>
                <w:ilvl w:val="0"/>
                <w:numId w:val="3"/>
              </w:numPr>
              <w:rPr>
                <w:rFonts w:ascii="Arial" w:hAnsi="Arial" w:cs="Arial"/>
              </w:rPr>
            </w:pPr>
            <w:r w:rsidRPr="00AA0392">
              <w:rPr>
                <w:rFonts w:ascii="Arial" w:hAnsi="Arial" w:cs="Arial"/>
              </w:rPr>
              <w:t>Open door for rent repayment orders:</w:t>
            </w:r>
            <w:r w:rsidRPr="00AA0392">
              <w:rPr>
                <w:lang w:val="en"/>
              </w:rPr>
              <w:t xml:space="preserve"> </w:t>
            </w:r>
            <w:r w:rsidRPr="00AA0392">
              <w:rPr>
                <w:rFonts w:ascii="Arial" w:hAnsi="Arial" w:cs="Arial"/>
                <w:lang w:val="en"/>
              </w:rPr>
              <w:t xml:space="preserve">The </w:t>
            </w:r>
            <w:hyperlink r:id="rId7" w:tooltip="Housing and Planning Bill 2015-16" w:history="1">
              <w:r w:rsidRPr="00AA0392">
                <w:rPr>
                  <w:rStyle w:val="Hyperlink"/>
                  <w:rFonts w:ascii="Arial" w:hAnsi="Arial" w:cs="Arial"/>
                  <w:color w:val="auto"/>
                  <w:u w:val="none"/>
                  <w:lang w:val="en"/>
                </w:rPr>
                <w:t>Housing and Planning Bill 2015-16</w:t>
              </w:r>
            </w:hyperlink>
            <w:r w:rsidRPr="00AA0392">
              <w:rPr>
                <w:rFonts w:ascii="Arial" w:hAnsi="Arial" w:cs="Arial"/>
                <w:lang w:val="en"/>
              </w:rPr>
              <w:t xml:space="preserve"> proposes changes to when Rent Repayment Orders can be granted to include the following situations:</w:t>
            </w:r>
          </w:p>
          <w:p w:rsidR="00AA0392" w:rsidRPr="00AA0392" w:rsidRDefault="00AA0392" w:rsidP="00AA0392">
            <w:pPr>
              <w:numPr>
                <w:ilvl w:val="0"/>
                <w:numId w:val="4"/>
              </w:numPr>
              <w:spacing w:before="100" w:beforeAutospacing="1" w:after="100" w:afterAutospacing="1"/>
              <w:rPr>
                <w:rFonts w:ascii="Arial" w:hAnsi="Arial" w:cs="Arial"/>
                <w:lang w:val="en"/>
              </w:rPr>
            </w:pPr>
            <w:r w:rsidRPr="00AA0392">
              <w:rPr>
                <w:rFonts w:ascii="Arial" w:hAnsi="Arial" w:cs="Arial"/>
                <w:lang w:val="en"/>
              </w:rPr>
              <w:t xml:space="preserve">Breaches of improvement orders and prohibition notices and of licensing requirements under the </w:t>
            </w:r>
            <w:hyperlink r:id="rId8" w:tooltip="Housing Act 2004" w:history="1">
              <w:r w:rsidRPr="00AA0392">
                <w:rPr>
                  <w:rStyle w:val="Hyperlink"/>
                  <w:rFonts w:ascii="Arial" w:hAnsi="Arial" w:cs="Arial"/>
                  <w:color w:val="auto"/>
                  <w:u w:val="none"/>
                  <w:lang w:val="en"/>
                </w:rPr>
                <w:t>Housing Act 2004</w:t>
              </w:r>
            </w:hyperlink>
            <w:r>
              <w:rPr>
                <w:rFonts w:ascii="Arial" w:hAnsi="Arial" w:cs="Arial"/>
                <w:lang w:val="en"/>
              </w:rPr>
              <w:t>.</w:t>
            </w:r>
            <w:r w:rsidRPr="00AA0392">
              <w:rPr>
                <w:rFonts w:ascii="Arial" w:hAnsi="Arial" w:cs="Arial"/>
                <w:lang w:val="en"/>
              </w:rPr>
              <w:t xml:space="preserve"> </w:t>
            </w:r>
          </w:p>
          <w:p w:rsidR="00AA0392" w:rsidRPr="00AA0392" w:rsidRDefault="00AA0392" w:rsidP="00AA0392">
            <w:pPr>
              <w:numPr>
                <w:ilvl w:val="0"/>
                <w:numId w:val="4"/>
              </w:numPr>
              <w:spacing w:before="100" w:beforeAutospacing="1" w:after="100" w:afterAutospacing="1"/>
              <w:rPr>
                <w:rFonts w:ascii="Arial" w:hAnsi="Arial" w:cs="Arial"/>
                <w:lang w:val="en"/>
              </w:rPr>
            </w:pPr>
            <w:r w:rsidRPr="00AA0392">
              <w:rPr>
                <w:rFonts w:ascii="Arial" w:hAnsi="Arial" w:cs="Arial"/>
                <w:lang w:val="en"/>
              </w:rPr>
              <w:t xml:space="preserve">Violent entry under the </w:t>
            </w:r>
            <w:hyperlink r:id="rId9" w:tooltip="Criminal Law Act 1977" w:history="1">
              <w:r w:rsidRPr="00AA0392">
                <w:rPr>
                  <w:rStyle w:val="Hyperlink"/>
                  <w:rFonts w:ascii="Arial" w:hAnsi="Arial" w:cs="Arial"/>
                  <w:color w:val="auto"/>
                  <w:u w:val="none"/>
                  <w:lang w:val="en"/>
                </w:rPr>
                <w:t>Criminal Law Act 1977</w:t>
              </w:r>
            </w:hyperlink>
            <w:r w:rsidRPr="00AA0392">
              <w:rPr>
                <w:rFonts w:ascii="Arial" w:hAnsi="Arial" w:cs="Arial"/>
                <w:lang w:val="en"/>
              </w:rPr>
              <w:t xml:space="preserve"> </w:t>
            </w:r>
          </w:p>
          <w:p w:rsidR="00AA0392" w:rsidRPr="00AA0392" w:rsidRDefault="00AA0392" w:rsidP="00AA0392">
            <w:pPr>
              <w:numPr>
                <w:ilvl w:val="0"/>
                <w:numId w:val="4"/>
              </w:numPr>
              <w:spacing w:before="100" w:beforeAutospacing="1" w:after="100" w:afterAutospacing="1"/>
              <w:rPr>
                <w:rFonts w:ascii="Arial" w:hAnsi="Arial" w:cs="Arial"/>
                <w:lang w:val="en"/>
              </w:rPr>
            </w:pPr>
            <w:r w:rsidRPr="00AA0392">
              <w:rPr>
                <w:rFonts w:ascii="Arial" w:hAnsi="Arial" w:cs="Arial"/>
                <w:lang w:val="en"/>
              </w:rPr>
              <w:t xml:space="preserve">Unlawful eviction under the </w:t>
            </w:r>
            <w:hyperlink r:id="rId10" w:tooltip="Protection from Eviction Act 1977" w:history="1">
              <w:r w:rsidRPr="00AA0392">
                <w:rPr>
                  <w:rStyle w:val="Hyperlink"/>
                  <w:rFonts w:ascii="Arial" w:hAnsi="Arial" w:cs="Arial"/>
                  <w:color w:val="auto"/>
                  <w:u w:val="none"/>
                  <w:lang w:val="en"/>
                </w:rPr>
                <w:t>Protection from Eviction Act 1977</w:t>
              </w:r>
            </w:hyperlink>
            <w:r>
              <w:rPr>
                <w:rFonts w:ascii="Arial" w:hAnsi="Arial" w:cs="Arial"/>
                <w:lang w:val="en"/>
              </w:rPr>
              <w:t>.</w:t>
            </w:r>
            <w:r w:rsidRPr="00AA0392">
              <w:rPr>
                <w:rFonts w:ascii="Arial" w:hAnsi="Arial" w:cs="Arial"/>
                <w:lang w:val="en"/>
              </w:rPr>
              <w:t xml:space="preserve"> </w:t>
            </w:r>
          </w:p>
          <w:p w:rsidR="00741875" w:rsidRDefault="00AA0392" w:rsidP="00AA0392">
            <w:pPr>
              <w:rPr>
                <w:rFonts w:ascii="Arial" w:hAnsi="Arial" w:cs="Arial"/>
              </w:rPr>
            </w:pPr>
            <w:r>
              <w:rPr>
                <w:rFonts w:ascii="Arial" w:hAnsi="Arial" w:cs="Arial"/>
              </w:rPr>
              <w:t xml:space="preserve">This lead on to new HMO regulations and licensing requirements which are currently being revised </w:t>
            </w:r>
            <w:r w:rsidR="00741875">
              <w:rPr>
                <w:rFonts w:ascii="Arial" w:hAnsi="Arial" w:cs="Arial"/>
              </w:rPr>
              <w:t>in regards to how many tenants are needed for a licensable HMO, and minimum room size requirements.</w:t>
            </w:r>
          </w:p>
          <w:p w:rsidR="00741875" w:rsidRDefault="00741875" w:rsidP="00AA0392">
            <w:pPr>
              <w:rPr>
                <w:rFonts w:ascii="Arial" w:hAnsi="Arial" w:cs="Arial"/>
              </w:rPr>
            </w:pPr>
          </w:p>
          <w:p w:rsidR="00AA0392" w:rsidRPr="00AA0392" w:rsidRDefault="00741875" w:rsidP="00AA0392">
            <w:pPr>
              <w:rPr>
                <w:rFonts w:ascii="Arial" w:hAnsi="Arial" w:cs="Arial"/>
              </w:rPr>
            </w:pPr>
            <w:r>
              <w:rPr>
                <w:rFonts w:ascii="Arial" w:hAnsi="Arial" w:cs="Arial"/>
              </w:rPr>
              <w:t xml:space="preserve">Also discussed was whether there would be a government </w:t>
            </w:r>
            <w:r>
              <w:rPr>
                <w:rFonts w:ascii="Arial" w:hAnsi="Arial" w:cs="Arial"/>
              </w:rPr>
              <w:lastRenderedPageBreak/>
              <w:t xml:space="preserve">database for rouge landlords- who would have access to this, revisions with fit and proper person tests and banning orders for operating as a landlord.    </w:t>
            </w:r>
          </w:p>
          <w:p w:rsidR="00E035D4" w:rsidRDefault="00E035D4" w:rsidP="00771C24">
            <w:pPr>
              <w:rPr>
                <w:rFonts w:ascii="Arial" w:hAnsi="Arial" w:cs="Arial"/>
              </w:rPr>
            </w:pPr>
          </w:p>
          <w:p w:rsidR="00484F26" w:rsidRDefault="00484F26" w:rsidP="00484F26">
            <w:pPr>
              <w:rPr>
                <w:rFonts w:ascii="Arial" w:hAnsi="Arial" w:cs="Arial"/>
              </w:rPr>
            </w:pPr>
          </w:p>
          <w:p w:rsidR="00484F26" w:rsidRDefault="00484F26" w:rsidP="00484F26">
            <w:pPr>
              <w:rPr>
                <w:rFonts w:ascii="Arial" w:hAnsi="Arial" w:cs="Arial"/>
              </w:rPr>
            </w:pPr>
          </w:p>
          <w:p w:rsidR="00484F26" w:rsidRDefault="00484F26" w:rsidP="00484F26">
            <w:pPr>
              <w:rPr>
                <w:rFonts w:ascii="Arial" w:hAnsi="Arial" w:cs="Arial"/>
              </w:rPr>
            </w:pPr>
          </w:p>
          <w:p w:rsidR="00484F26" w:rsidRDefault="00484F26" w:rsidP="00484F26">
            <w:pPr>
              <w:rPr>
                <w:rFonts w:ascii="Arial" w:hAnsi="Arial" w:cs="Arial"/>
              </w:rPr>
            </w:pPr>
          </w:p>
          <w:p w:rsidR="00484F26" w:rsidRDefault="00484F26" w:rsidP="00484F26">
            <w:pPr>
              <w:rPr>
                <w:rFonts w:ascii="Arial" w:hAnsi="Arial" w:cs="Arial"/>
              </w:rPr>
            </w:pPr>
          </w:p>
          <w:p w:rsidR="00103590" w:rsidRPr="00484F26" w:rsidRDefault="00741875" w:rsidP="00484F26">
            <w:pPr>
              <w:rPr>
                <w:rFonts w:ascii="Arial" w:hAnsi="Arial" w:cs="Arial"/>
              </w:rPr>
            </w:pPr>
            <w:r>
              <w:rPr>
                <w:rFonts w:ascii="Arial" w:hAnsi="Arial" w:cs="Arial"/>
              </w:rPr>
              <w:t xml:space="preserve">The open forum was closed by a discussion </w:t>
            </w:r>
            <w:r w:rsidR="00484F26">
              <w:rPr>
                <w:rFonts w:ascii="Arial" w:hAnsi="Arial" w:cs="Arial"/>
              </w:rPr>
              <w:t>about the benefits of trying to work across partnerships to achieve better standards in the private sector as opposed to extending licensing regimes and placing “more hoops to jump through”.</w:t>
            </w:r>
          </w:p>
        </w:tc>
        <w:tc>
          <w:tcPr>
            <w:tcW w:w="1115" w:type="dxa"/>
          </w:tcPr>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r>
              <w:rPr>
                <w:rFonts w:ascii="Arial" w:hAnsi="Arial" w:cs="Arial"/>
                <w:sz w:val="16"/>
              </w:rPr>
              <w:t>.</w:t>
            </w: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sz w:val="16"/>
              </w:rPr>
            </w:pPr>
          </w:p>
          <w:p w:rsidR="00103590" w:rsidRDefault="00103590" w:rsidP="00771C24">
            <w:pPr>
              <w:rPr>
                <w:rFonts w:ascii="Arial" w:hAnsi="Arial" w:cs="Arial"/>
              </w:rPr>
            </w:pPr>
          </w:p>
        </w:tc>
      </w:tr>
      <w:tr w:rsidR="00103590" w:rsidTr="00AA0392">
        <w:trPr>
          <w:trHeight w:val="2130"/>
        </w:trPr>
        <w:tc>
          <w:tcPr>
            <w:tcW w:w="856" w:type="dxa"/>
          </w:tcPr>
          <w:p w:rsidR="00103590" w:rsidRDefault="00103590" w:rsidP="00771C24">
            <w:pPr>
              <w:rPr>
                <w:rFonts w:ascii="Arial" w:hAnsi="Arial" w:cs="Arial"/>
              </w:rPr>
            </w:pPr>
            <w:r>
              <w:rPr>
                <w:rFonts w:ascii="Arial" w:hAnsi="Arial" w:cs="Arial"/>
              </w:rPr>
              <w:lastRenderedPageBreak/>
              <w:t xml:space="preserve">7.  </w:t>
            </w:r>
          </w:p>
        </w:tc>
        <w:tc>
          <w:tcPr>
            <w:tcW w:w="6803" w:type="dxa"/>
          </w:tcPr>
          <w:p w:rsidR="00AA0392" w:rsidRDefault="00AA0392" w:rsidP="00771C24">
            <w:pPr>
              <w:rPr>
                <w:rFonts w:ascii="Arial Bold" w:hAnsi="Arial Bold" w:cs="Arial"/>
                <w:b/>
              </w:rPr>
            </w:pPr>
          </w:p>
          <w:p w:rsidR="00103590" w:rsidRDefault="00103590" w:rsidP="00771C24">
            <w:pPr>
              <w:rPr>
                <w:rFonts w:ascii="Arial Bold" w:hAnsi="Arial Bold" w:cs="Arial"/>
                <w:b/>
              </w:rPr>
            </w:pPr>
            <w:r>
              <w:rPr>
                <w:rFonts w:ascii="Arial Bold" w:hAnsi="Arial Bold" w:cs="Arial"/>
                <w:b/>
              </w:rPr>
              <w:t>Ian Beattie</w:t>
            </w:r>
          </w:p>
          <w:p w:rsidR="00103590" w:rsidRDefault="00103590" w:rsidP="00771C24">
            <w:pPr>
              <w:rPr>
                <w:rFonts w:ascii="Arial Bold" w:hAnsi="Arial Bold" w:cs="Arial"/>
                <w:b/>
              </w:rPr>
            </w:pPr>
          </w:p>
          <w:p w:rsidR="00103590" w:rsidRDefault="00103590" w:rsidP="00771C24">
            <w:pPr>
              <w:rPr>
                <w:rFonts w:ascii="Arial" w:hAnsi="Arial" w:cs="Arial"/>
              </w:rPr>
            </w:pPr>
            <w:r w:rsidRPr="00103590">
              <w:rPr>
                <w:rFonts w:ascii="Arial" w:hAnsi="Arial" w:cs="Arial"/>
              </w:rPr>
              <w:t>Closed the forum, thanking all speakers and</w:t>
            </w:r>
            <w:r>
              <w:rPr>
                <w:rFonts w:ascii="Arial" w:hAnsi="Arial" w:cs="Arial"/>
              </w:rPr>
              <w:t xml:space="preserve"> attendees;</w:t>
            </w:r>
            <w:r w:rsidRPr="00103590">
              <w:rPr>
                <w:rFonts w:ascii="Arial" w:hAnsi="Arial" w:cs="Arial"/>
              </w:rPr>
              <w:t xml:space="preserve"> advising that the</w:t>
            </w:r>
            <w:r>
              <w:rPr>
                <w:rFonts w:ascii="Arial" w:hAnsi="Arial" w:cs="Arial"/>
              </w:rPr>
              <w:t xml:space="preserve"> minutes of the meeting, copies of the presentations and links to topics discussed will be posted on the Tamworth Council website. </w:t>
            </w:r>
          </w:p>
          <w:p w:rsidR="00E16FEC" w:rsidRDefault="00E16FEC" w:rsidP="00771C24">
            <w:pPr>
              <w:rPr>
                <w:rFonts w:ascii="Arial" w:hAnsi="Arial" w:cs="Arial"/>
              </w:rPr>
            </w:pPr>
          </w:p>
          <w:p w:rsidR="00E16FEC" w:rsidRDefault="00E16FEC" w:rsidP="00771C24">
            <w:pPr>
              <w:rPr>
                <w:rFonts w:ascii="Arial" w:hAnsi="Arial" w:cs="Arial"/>
                <w:b/>
                <w:u w:val="single"/>
              </w:rPr>
            </w:pPr>
            <w:r w:rsidRPr="00E16FEC">
              <w:rPr>
                <w:rFonts w:ascii="Arial" w:hAnsi="Arial" w:cs="Arial"/>
                <w:b/>
                <w:u w:val="single"/>
              </w:rPr>
              <w:t xml:space="preserve">Next landlord forum: </w:t>
            </w:r>
            <w:r>
              <w:rPr>
                <w:rFonts w:ascii="Arial" w:hAnsi="Arial" w:cs="Arial"/>
                <w:b/>
                <w:u w:val="single"/>
              </w:rPr>
              <w:t>9</w:t>
            </w:r>
            <w:r w:rsidRPr="00E16FEC">
              <w:rPr>
                <w:rFonts w:ascii="Arial" w:hAnsi="Arial" w:cs="Arial"/>
                <w:b/>
                <w:u w:val="single"/>
                <w:vertAlign w:val="superscript"/>
              </w:rPr>
              <w:t>th</w:t>
            </w:r>
            <w:r>
              <w:rPr>
                <w:rFonts w:ascii="Arial" w:hAnsi="Arial" w:cs="Arial"/>
                <w:b/>
                <w:u w:val="single"/>
              </w:rPr>
              <w:t xml:space="preserve"> February 2017</w:t>
            </w:r>
            <w:bookmarkStart w:id="0" w:name="_GoBack"/>
            <w:bookmarkEnd w:id="0"/>
          </w:p>
          <w:p w:rsidR="00E16FEC" w:rsidRDefault="00E16FEC" w:rsidP="00771C24">
            <w:pPr>
              <w:rPr>
                <w:rFonts w:ascii="Arial" w:hAnsi="Arial" w:cs="Arial"/>
                <w:b/>
                <w:u w:val="single"/>
              </w:rPr>
            </w:pPr>
          </w:p>
          <w:p w:rsidR="00E16FEC" w:rsidRDefault="00E16FEC" w:rsidP="00771C24">
            <w:pPr>
              <w:rPr>
                <w:rFonts w:ascii="Arial" w:hAnsi="Arial" w:cs="Arial"/>
                <w:b/>
                <w:u w:val="single"/>
              </w:rPr>
            </w:pPr>
          </w:p>
          <w:p w:rsidR="00E16FEC" w:rsidRPr="00E16FEC" w:rsidRDefault="00E16FEC" w:rsidP="00771C24">
            <w:pPr>
              <w:rPr>
                <w:rFonts w:ascii="Arial" w:hAnsi="Arial" w:cs="Arial"/>
                <w:b/>
                <w:u w:val="single"/>
              </w:rPr>
            </w:pPr>
          </w:p>
        </w:tc>
        <w:tc>
          <w:tcPr>
            <w:tcW w:w="1115" w:type="dxa"/>
          </w:tcPr>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p w:rsidR="00103590" w:rsidRDefault="00103590" w:rsidP="00771C24">
            <w:pPr>
              <w:rPr>
                <w:rFonts w:ascii="Arial" w:hAnsi="Arial" w:cs="Arial"/>
              </w:rPr>
            </w:pPr>
          </w:p>
        </w:tc>
      </w:tr>
    </w:tbl>
    <w:p w:rsidR="00226298" w:rsidRDefault="00226298"/>
    <w:p w:rsidR="00DA3422" w:rsidRPr="00DA3422" w:rsidRDefault="00DA3422">
      <w:pPr>
        <w:rPr>
          <w:rFonts w:ascii="Arial" w:hAnsi="Arial" w:cs="Arial"/>
          <w:b/>
          <w:bCs/>
        </w:rPr>
      </w:pPr>
      <w:r>
        <w:rPr>
          <w:rStyle w:val="Strong"/>
          <w:rFonts w:ascii="Arial" w:hAnsi="Arial" w:cs="Arial"/>
          <w:b w:val="0"/>
          <w:color w:val="313131"/>
        </w:rPr>
        <w:t xml:space="preserve">Overview </w:t>
      </w:r>
      <w:r>
        <w:rPr>
          <w:rFonts w:ascii="Arial" w:hAnsi="Arial" w:cs="Arial"/>
          <w:b/>
          <w:bCs/>
        </w:rPr>
        <w:t>of The Finance Act 2015- (</w:t>
      </w:r>
      <w:hyperlink r:id="rId11" w:history="1">
        <w:r w:rsidRPr="00DA1A82">
          <w:rPr>
            <w:rStyle w:val="Hyperlink"/>
            <w:rFonts w:ascii="Arial" w:hAnsi="Arial" w:cs="Arial"/>
            <w:b/>
            <w:bCs/>
          </w:rPr>
          <w:t>https://www.crowdjustice.org/case/clause24/</w:t>
        </w:r>
      </w:hyperlink>
      <w:r>
        <w:rPr>
          <w:rFonts w:ascii="Arial" w:hAnsi="Arial" w:cs="Arial"/>
          <w:b/>
          <w:bCs/>
        </w:rPr>
        <w:t xml:space="preserve">) accessed 09.11.2016 at 15:16) </w:t>
      </w:r>
    </w:p>
    <w:sectPr w:rsidR="00DA3422" w:rsidRPr="00DA34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14BA"/>
    <w:multiLevelType w:val="hybridMultilevel"/>
    <w:tmpl w:val="A128FE7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EE0303B"/>
    <w:multiLevelType w:val="hybridMultilevel"/>
    <w:tmpl w:val="A1FCBD9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5AD6AC7"/>
    <w:multiLevelType w:val="multilevel"/>
    <w:tmpl w:val="464C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D8013E"/>
    <w:multiLevelType w:val="hybridMultilevel"/>
    <w:tmpl w:val="16669C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17"/>
    <w:rsid w:val="00092AFC"/>
    <w:rsid w:val="00103590"/>
    <w:rsid w:val="00226298"/>
    <w:rsid w:val="003B36E6"/>
    <w:rsid w:val="00484F26"/>
    <w:rsid w:val="00530D67"/>
    <w:rsid w:val="005907DE"/>
    <w:rsid w:val="005E7CAA"/>
    <w:rsid w:val="00696D8C"/>
    <w:rsid w:val="00741875"/>
    <w:rsid w:val="00894F05"/>
    <w:rsid w:val="00927C17"/>
    <w:rsid w:val="009E51F4"/>
    <w:rsid w:val="00AA0392"/>
    <w:rsid w:val="00C244C9"/>
    <w:rsid w:val="00DA3422"/>
    <w:rsid w:val="00DE17D7"/>
    <w:rsid w:val="00E035D4"/>
    <w:rsid w:val="00E1221A"/>
    <w:rsid w:val="00E16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C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7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27C17"/>
    <w:rPr>
      <w:color w:val="0000FF"/>
      <w:u w:val="single"/>
    </w:rPr>
  </w:style>
  <w:style w:type="character" w:styleId="Strong">
    <w:name w:val="Strong"/>
    <w:basedOn w:val="DefaultParagraphFont"/>
    <w:uiPriority w:val="22"/>
    <w:qFormat/>
    <w:rsid w:val="00530D67"/>
    <w:rPr>
      <w:b/>
      <w:bCs/>
    </w:rPr>
  </w:style>
  <w:style w:type="paragraph" w:styleId="ListParagraph">
    <w:name w:val="List Paragraph"/>
    <w:basedOn w:val="Normal"/>
    <w:uiPriority w:val="34"/>
    <w:qFormat/>
    <w:rsid w:val="00AA0392"/>
    <w:pPr>
      <w:ind w:left="720"/>
      <w:contextualSpacing/>
    </w:pPr>
  </w:style>
  <w:style w:type="paragraph" w:styleId="NormalWeb">
    <w:name w:val="Normal (Web)"/>
    <w:basedOn w:val="Normal"/>
    <w:uiPriority w:val="99"/>
    <w:unhideWhenUsed/>
    <w:rsid w:val="00AA03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C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7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27C17"/>
    <w:rPr>
      <w:color w:val="0000FF"/>
      <w:u w:val="single"/>
    </w:rPr>
  </w:style>
  <w:style w:type="character" w:styleId="Strong">
    <w:name w:val="Strong"/>
    <w:basedOn w:val="DefaultParagraphFont"/>
    <w:uiPriority w:val="22"/>
    <w:qFormat/>
    <w:rsid w:val="00530D67"/>
    <w:rPr>
      <w:b/>
      <w:bCs/>
    </w:rPr>
  </w:style>
  <w:style w:type="paragraph" w:styleId="ListParagraph">
    <w:name w:val="List Paragraph"/>
    <w:basedOn w:val="Normal"/>
    <w:uiPriority w:val="34"/>
    <w:qFormat/>
    <w:rsid w:val="00AA0392"/>
    <w:pPr>
      <w:ind w:left="720"/>
      <w:contextualSpacing/>
    </w:pPr>
  </w:style>
  <w:style w:type="paragraph" w:styleId="NormalWeb">
    <w:name w:val="Normal (Web)"/>
    <w:basedOn w:val="Normal"/>
    <w:uiPriority w:val="99"/>
    <w:unhideWhenUsed/>
    <w:rsid w:val="00AA03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5474">
      <w:bodyDiv w:val="1"/>
      <w:marLeft w:val="0"/>
      <w:marRight w:val="0"/>
      <w:marTop w:val="0"/>
      <w:marBottom w:val="0"/>
      <w:divBdr>
        <w:top w:val="none" w:sz="0" w:space="0" w:color="auto"/>
        <w:left w:val="none" w:sz="0" w:space="0" w:color="auto"/>
        <w:bottom w:val="none" w:sz="0" w:space="0" w:color="auto"/>
        <w:right w:val="none" w:sz="0" w:space="0" w:color="auto"/>
      </w:divBdr>
      <w:divsChild>
        <w:div w:id="1541556650">
          <w:marLeft w:val="0"/>
          <w:marRight w:val="0"/>
          <w:marTop w:val="0"/>
          <w:marBottom w:val="0"/>
          <w:divBdr>
            <w:top w:val="none" w:sz="0" w:space="0" w:color="auto"/>
            <w:left w:val="none" w:sz="0" w:space="0" w:color="auto"/>
            <w:bottom w:val="none" w:sz="0" w:space="0" w:color="auto"/>
            <w:right w:val="none" w:sz="0" w:space="0" w:color="auto"/>
          </w:divBdr>
          <w:divsChild>
            <w:div w:id="1599213995">
              <w:marLeft w:val="0"/>
              <w:marRight w:val="0"/>
              <w:marTop w:val="0"/>
              <w:marBottom w:val="0"/>
              <w:divBdr>
                <w:top w:val="none" w:sz="0" w:space="0" w:color="auto"/>
                <w:left w:val="none" w:sz="0" w:space="0" w:color="auto"/>
                <w:bottom w:val="none" w:sz="0" w:space="0" w:color="auto"/>
                <w:right w:val="none" w:sz="0" w:space="0" w:color="auto"/>
              </w:divBdr>
              <w:divsChild>
                <w:div w:id="17325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using_Act_200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ipedia.org/wiki/Housing_and_Planning_Bill_2015-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mortgageworks.co.uk" TargetMode="External"/><Relationship Id="rId11" Type="http://schemas.openxmlformats.org/officeDocument/2006/relationships/hyperlink" Target="https://www.crowdjustice.org/case/clause24/" TargetMode="External"/><Relationship Id="rId5" Type="http://schemas.openxmlformats.org/officeDocument/2006/relationships/webSettings" Target="webSettings.xml"/><Relationship Id="rId10" Type="http://schemas.openxmlformats.org/officeDocument/2006/relationships/hyperlink" Target="https://en.wikipedia.org/wiki/Protection_from_Eviction_Act_1977" TargetMode="External"/><Relationship Id="rId4" Type="http://schemas.openxmlformats.org/officeDocument/2006/relationships/settings" Target="settings.xml"/><Relationship Id="rId9" Type="http://schemas.openxmlformats.org/officeDocument/2006/relationships/hyperlink" Target="https://en.wikipedia.org/wiki/Criminal_Law_Act_1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Cuffe, Lauren</dc:creator>
  <cp:lastModifiedBy>Cuffe, Lauren</cp:lastModifiedBy>
  <cp:revision>3</cp:revision>
  <dcterms:created xsi:type="dcterms:W3CDTF">2016-11-09T17:01:00Z</dcterms:created>
  <dcterms:modified xsi:type="dcterms:W3CDTF">2016-11-22T11:40:00Z</dcterms:modified>
</cp:coreProperties>
</file>